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b"/>
        <w:bidiVisual/>
        <w:tblW w:w="104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476"/>
      </w:tblGrid>
      <w:tr w:rsidR="00694556" w:rsidRPr="00DE1E7D" w:rsidTr="00D27E67">
        <w:trPr>
          <w:jc w:val="center"/>
        </w:trPr>
        <w:tc>
          <w:tcPr>
            <w:tcW w:w="10476" w:type="dxa"/>
          </w:tcPr>
          <w:p w:rsidR="00D27E67" w:rsidRDefault="00D27E67" w:rsidP="00D27E67">
            <w:pPr>
              <w:rPr>
                <w:noProof w:val="0"/>
              </w:rPr>
            </w:pPr>
          </w:p>
          <w:tbl>
            <w:tblPr>
              <w:tblStyle w:val="ab"/>
              <w:bidiVisual/>
              <w:tblW w:w="8820" w:type="dxa"/>
              <w:jc w:val="center"/>
              <w:tblLook w:val="01E0" w:firstRow="1" w:lastRow="1" w:firstColumn="1" w:lastColumn="1" w:noHBand="0" w:noVBand="0"/>
            </w:tblPr>
            <w:tblGrid>
              <w:gridCol w:w="923"/>
              <w:gridCol w:w="3219"/>
              <w:gridCol w:w="4678"/>
            </w:tblGrid>
            <w:tr w:rsidR="00D27E67" w:rsidTr="00D27E67">
              <w:trPr>
                <w:trHeight w:val="295"/>
                <w:jc w:val="center"/>
              </w:trPr>
              <w:tc>
                <w:tcPr>
                  <w:tcW w:w="923" w:type="dxa"/>
                  <w:tcBorders>
                    <w:top w:val="nil"/>
                    <w:left w:val="nil"/>
                    <w:bottom w:val="nil"/>
                    <w:right w:val="nil"/>
                  </w:tcBorders>
                  <w:hideMark/>
                </w:tcPr>
                <w:p w:rsidR="00D27E67" w:rsidRDefault="00D27E67" w:rsidP="00D27E67">
                  <w:pPr>
                    <w:jc w:val="both"/>
                    <w:rPr>
                      <w:rFonts w:ascii="David" w:hAnsi="David"/>
                      <w:sz w:val="26"/>
                      <w:szCs w:val="26"/>
                      <w:rtl/>
                    </w:rPr>
                  </w:pPr>
                  <w:r>
                    <w:rPr>
                      <w:rFonts w:ascii="David" w:hAnsi="David"/>
                      <w:sz w:val="26"/>
                      <w:szCs w:val="26"/>
                      <w:rtl/>
                    </w:rPr>
                    <w:t xml:space="preserve">לפני </w:t>
                  </w:r>
                </w:p>
              </w:tc>
              <w:tc>
                <w:tcPr>
                  <w:tcW w:w="7897" w:type="dxa"/>
                  <w:gridSpan w:val="2"/>
                  <w:tcBorders>
                    <w:top w:val="nil"/>
                    <w:left w:val="nil"/>
                    <w:bottom w:val="nil"/>
                    <w:right w:val="nil"/>
                  </w:tcBorders>
                </w:tcPr>
                <w:p w:rsidR="00D27E67" w:rsidRDefault="00D27E67" w:rsidP="00D27E67">
                  <w:pPr>
                    <w:jc w:val="both"/>
                    <w:rPr>
                      <w:rFonts w:ascii="David" w:hAnsi="David"/>
                      <w:sz w:val="26"/>
                      <w:szCs w:val="26"/>
                    </w:rPr>
                  </w:pPr>
                </w:p>
                <w:p w:rsidR="00D27E67" w:rsidRDefault="00D27E67" w:rsidP="00D27E67">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עמי קובו</w:t>
                      </w:r>
                    </w:sdtContent>
                  </w:sdt>
                </w:p>
                <w:p w:rsidR="00D27E67" w:rsidRDefault="00D27E67" w:rsidP="00D27E67">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135614904"/>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1331412419"/>
                      <w:text w:multiLine="1"/>
                    </w:sdtPr>
                    <w:sdtEndPr/>
                    <w:sdtContent>
                      <w:r>
                        <w:rPr>
                          <w:rFonts w:ascii="David" w:hAnsi="David"/>
                          <w:b/>
                          <w:bCs/>
                          <w:sz w:val="26"/>
                          <w:szCs w:val="26"/>
                          <w:rtl/>
                        </w:rPr>
                        <w:t>מיכאל קרשן</w:t>
                      </w:r>
                    </w:sdtContent>
                  </w:sdt>
                </w:p>
                <w:p w:rsidR="00D27E67" w:rsidRDefault="00D27E67" w:rsidP="00D27E67">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2014139712"/>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sz w:val="26"/>
                        <w:szCs w:val="26"/>
                        <w:rtl/>
                      </w:rPr>
                      <w:alias w:val="1573"/>
                      <w:tag w:val="1573"/>
                      <w:id w:val="-571432176"/>
                      <w:text w:multiLine="1"/>
                    </w:sdtPr>
                    <w:sdtEndPr/>
                    <w:sdtContent>
                      <w:r>
                        <w:rPr>
                          <w:rFonts w:ascii="David" w:hAnsi="David"/>
                          <w:b/>
                          <w:bCs/>
                          <w:sz w:val="26"/>
                          <w:szCs w:val="26"/>
                          <w:rtl/>
                        </w:rPr>
                        <w:t>מרב גרינברג</w:t>
                      </w:r>
                    </w:sdtContent>
                  </w:sdt>
                </w:p>
                <w:p w:rsidR="00D27E67" w:rsidRDefault="00D27E67" w:rsidP="00D27E67">
                  <w:pPr>
                    <w:rPr>
                      <w:rFonts w:ascii="David" w:hAnsi="David"/>
                      <w:sz w:val="26"/>
                      <w:szCs w:val="26"/>
                      <w:rtl/>
                    </w:rPr>
                  </w:pPr>
                </w:p>
              </w:tc>
            </w:tr>
            <w:tr w:rsidR="00D27E67" w:rsidTr="00D27E67">
              <w:trPr>
                <w:trHeight w:val="355"/>
                <w:jc w:val="center"/>
              </w:trPr>
              <w:tc>
                <w:tcPr>
                  <w:tcW w:w="923" w:type="dxa"/>
                  <w:tcBorders>
                    <w:top w:val="nil"/>
                    <w:left w:val="nil"/>
                    <w:bottom w:val="nil"/>
                    <w:right w:val="nil"/>
                  </w:tcBorders>
                  <w:hideMark/>
                </w:tcPr>
                <w:p w:rsidR="00D27E67" w:rsidRDefault="00D27E67" w:rsidP="00D27E67">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D27E67" w:rsidRDefault="00D27E67" w:rsidP="00D27E67">
                  <w:pPr>
                    <w:suppressLineNumbers/>
                  </w:pPr>
                  <w:r>
                    <w:rPr>
                      <w:rFonts w:ascii="Arial" w:hAnsi="Arial"/>
                      <w:b/>
                      <w:bCs/>
                      <w:sz w:val="26"/>
                      <w:szCs w:val="26"/>
                      <w:rtl/>
                    </w:rPr>
                    <w:t>ה</w:t>
                  </w:r>
                  <w:sdt>
                    <w:sdtPr>
                      <w:rPr>
                        <w:rtl/>
                      </w:rPr>
                      <w:alias w:val="1180"/>
                      <w:tag w:val="1180"/>
                      <w:id w:val="1131279961"/>
                      <w:text w:multiLine="1"/>
                    </w:sdtPr>
                    <w:sdtEndPr/>
                    <w:sdtContent>
                      <w:r>
                        <w:rPr>
                          <w:rFonts w:ascii="Arial" w:hAnsi="Arial"/>
                          <w:b/>
                          <w:bCs/>
                          <w:sz w:val="26"/>
                          <w:szCs w:val="26"/>
                          <w:rtl/>
                        </w:rPr>
                        <w:t>מאשימה</w:t>
                      </w:r>
                    </w:sdtContent>
                  </w:sdt>
                </w:p>
                <w:p w:rsidR="00D27E67" w:rsidRDefault="00D27E67" w:rsidP="00D27E67">
                  <w:pPr>
                    <w:rPr>
                      <w:rFonts w:ascii="David" w:hAnsi="David"/>
                      <w:sz w:val="26"/>
                      <w:szCs w:val="26"/>
                    </w:rPr>
                  </w:pPr>
                </w:p>
              </w:tc>
              <w:tc>
                <w:tcPr>
                  <w:tcW w:w="4678" w:type="dxa"/>
                  <w:tcBorders>
                    <w:top w:val="nil"/>
                    <w:left w:val="nil"/>
                    <w:bottom w:val="nil"/>
                    <w:right w:val="nil"/>
                  </w:tcBorders>
                  <w:vAlign w:val="center"/>
                </w:tcPr>
                <w:p w:rsidR="00D27E67" w:rsidRDefault="002A021D" w:rsidP="00D27E67">
                  <w:pPr>
                    <w:suppressLineNumbers/>
                    <w:rPr>
                      <w:rFonts w:ascii="Arial" w:hAnsi="Arial"/>
                      <w:b/>
                      <w:bCs/>
                      <w:sz w:val="26"/>
                      <w:szCs w:val="26"/>
                    </w:rPr>
                  </w:pPr>
                  <w:sdt>
                    <w:sdtPr>
                      <w:rPr>
                        <w:rFonts w:ascii="Arial" w:hAnsi="Arial"/>
                        <w:b/>
                        <w:bCs/>
                        <w:sz w:val="26"/>
                        <w:szCs w:val="26"/>
                        <w:rtl/>
                      </w:rPr>
                      <w:alias w:val="3151"/>
                      <w:tag w:val="3151"/>
                      <w:id w:val="373897129"/>
                      <w:placeholder>
                        <w:docPart w:val="AE3DAFD6EA6F45A1B61370A65DA5B37F"/>
                      </w:placeholder>
                      <w:text w:multiLine="1"/>
                    </w:sdtPr>
                    <w:sdtEndPr/>
                    <w:sdtContent>
                      <w:r w:rsidR="00D27E67">
                        <w:rPr>
                          <w:rFonts w:ascii="Arial" w:hAnsi="Arial"/>
                          <w:b/>
                          <w:bCs/>
                          <w:sz w:val="26"/>
                          <w:szCs w:val="26"/>
                          <w:rtl/>
                        </w:rPr>
                        <w:t>מדינת ישראל</w:t>
                      </w:r>
                    </w:sdtContent>
                  </w:sdt>
                  <w:r w:rsidR="00D27E67">
                    <w:rPr>
                      <w:rFonts w:ascii="Arial" w:hAnsi="Arial"/>
                      <w:b/>
                      <w:bCs/>
                      <w:sz w:val="26"/>
                      <w:szCs w:val="26"/>
                      <w:rtl/>
                    </w:rPr>
                    <w:t xml:space="preserve"> </w:t>
                  </w:r>
                </w:p>
                <w:p w:rsidR="00D27E67" w:rsidRDefault="00D27E67" w:rsidP="00D27E67">
                  <w:pPr>
                    <w:suppressLineNumbers/>
                    <w:rPr>
                      <w:rFonts w:ascii="Arial" w:hAnsi="Arial"/>
                      <w:b/>
                      <w:bCs/>
                      <w:sz w:val="26"/>
                      <w:szCs w:val="26"/>
                      <w:rtl/>
                    </w:rPr>
                  </w:pPr>
                  <w:r>
                    <w:rPr>
                      <w:rFonts w:ascii="Arial" w:hAnsi="Arial"/>
                      <w:rtl/>
                    </w:rPr>
                    <w:t>באמצעות פרקליטות מחוז מרכז</w:t>
                  </w:r>
                </w:p>
                <w:p w:rsidR="00D27E67" w:rsidRDefault="00D27E67" w:rsidP="00D27E67">
                  <w:pPr>
                    <w:suppressLineNumbers/>
                    <w:rPr>
                      <w:rtl/>
                    </w:rPr>
                  </w:pPr>
                  <w:r>
                    <w:rPr>
                      <w:rtl/>
                    </w:rPr>
                    <w:t>ע"י עו"ד רועי לוס</w:t>
                  </w:r>
                </w:p>
                <w:p w:rsidR="00D27E67" w:rsidRDefault="00D27E67" w:rsidP="00D27E67">
                  <w:pPr>
                    <w:rPr>
                      <w:rFonts w:ascii="David" w:hAnsi="David"/>
                      <w:sz w:val="26"/>
                      <w:szCs w:val="26"/>
                    </w:rPr>
                  </w:pPr>
                </w:p>
              </w:tc>
            </w:tr>
            <w:tr w:rsidR="00D27E67" w:rsidTr="00D27E67">
              <w:trPr>
                <w:trHeight w:val="355"/>
                <w:jc w:val="center"/>
              </w:trPr>
              <w:tc>
                <w:tcPr>
                  <w:tcW w:w="923" w:type="dxa"/>
                  <w:tcBorders>
                    <w:top w:val="nil"/>
                    <w:left w:val="nil"/>
                    <w:bottom w:val="nil"/>
                    <w:right w:val="nil"/>
                  </w:tcBorders>
                </w:tcPr>
                <w:p w:rsidR="00D27E67" w:rsidRDefault="00D27E67" w:rsidP="00D27E67">
                  <w:pPr>
                    <w:jc w:val="both"/>
                    <w:rPr>
                      <w:rFonts w:ascii="David" w:hAnsi="David"/>
                      <w:sz w:val="26"/>
                      <w:szCs w:val="26"/>
                    </w:rPr>
                  </w:pPr>
                </w:p>
              </w:tc>
              <w:tc>
                <w:tcPr>
                  <w:tcW w:w="7897" w:type="dxa"/>
                  <w:gridSpan w:val="2"/>
                  <w:tcBorders>
                    <w:top w:val="nil"/>
                    <w:left w:val="nil"/>
                    <w:bottom w:val="nil"/>
                    <w:right w:val="nil"/>
                  </w:tcBorders>
                </w:tcPr>
                <w:p w:rsidR="00D27E67" w:rsidRDefault="00D27E67" w:rsidP="00D27E67">
                  <w:pPr>
                    <w:jc w:val="center"/>
                    <w:rPr>
                      <w:rFonts w:ascii="David" w:hAnsi="David"/>
                      <w:b/>
                      <w:bCs/>
                      <w:sz w:val="26"/>
                      <w:szCs w:val="26"/>
                      <w:rtl/>
                    </w:rPr>
                  </w:pPr>
                </w:p>
                <w:p w:rsidR="00D27E67" w:rsidRDefault="00D27E67" w:rsidP="00D27E67">
                  <w:pPr>
                    <w:jc w:val="center"/>
                    <w:rPr>
                      <w:rFonts w:ascii="David" w:hAnsi="David"/>
                      <w:b/>
                      <w:bCs/>
                      <w:sz w:val="26"/>
                      <w:szCs w:val="26"/>
                      <w:rtl/>
                    </w:rPr>
                  </w:pPr>
                  <w:r>
                    <w:rPr>
                      <w:rFonts w:ascii="David" w:hAnsi="David"/>
                      <w:b/>
                      <w:bCs/>
                      <w:sz w:val="26"/>
                      <w:szCs w:val="26"/>
                      <w:rtl/>
                    </w:rPr>
                    <w:t>נגד</w:t>
                  </w:r>
                </w:p>
                <w:p w:rsidR="00D27E67" w:rsidRDefault="00D27E67" w:rsidP="00D27E67">
                  <w:pPr>
                    <w:jc w:val="both"/>
                    <w:rPr>
                      <w:rFonts w:ascii="David" w:hAnsi="David"/>
                      <w:sz w:val="26"/>
                      <w:szCs w:val="26"/>
                      <w:rtl/>
                    </w:rPr>
                  </w:pPr>
                </w:p>
              </w:tc>
            </w:tr>
            <w:tr w:rsidR="00D27E67" w:rsidTr="00D27E67">
              <w:trPr>
                <w:trHeight w:val="355"/>
                <w:jc w:val="center"/>
              </w:trPr>
              <w:tc>
                <w:tcPr>
                  <w:tcW w:w="923" w:type="dxa"/>
                  <w:tcBorders>
                    <w:top w:val="nil"/>
                    <w:left w:val="nil"/>
                    <w:bottom w:val="nil"/>
                    <w:right w:val="nil"/>
                  </w:tcBorders>
                </w:tcPr>
                <w:p w:rsidR="00D27E67" w:rsidRDefault="00D27E67" w:rsidP="00D27E67">
                  <w:pPr>
                    <w:rPr>
                      <w:rFonts w:ascii="David" w:hAnsi="David"/>
                      <w:sz w:val="26"/>
                      <w:szCs w:val="26"/>
                    </w:rPr>
                  </w:pPr>
                </w:p>
              </w:tc>
              <w:tc>
                <w:tcPr>
                  <w:tcW w:w="3219" w:type="dxa"/>
                  <w:tcBorders>
                    <w:top w:val="nil"/>
                    <w:left w:val="nil"/>
                    <w:bottom w:val="nil"/>
                    <w:right w:val="nil"/>
                  </w:tcBorders>
                  <w:hideMark/>
                </w:tcPr>
                <w:p w:rsidR="00D27E67" w:rsidRDefault="00D27E67" w:rsidP="00D27E67">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D27E67" w:rsidRDefault="002A021D" w:rsidP="00D27E67">
                  <w:pPr>
                    <w:suppressLineNumbers/>
                    <w:rPr>
                      <w:rFonts w:ascii="Arial" w:hAnsi="Arial"/>
                      <w:b/>
                      <w:bCs/>
                      <w:sz w:val="26"/>
                      <w:szCs w:val="26"/>
                      <w:rtl/>
                    </w:rPr>
                  </w:pPr>
                  <w:sdt>
                    <w:sdtPr>
                      <w:rPr>
                        <w:rFonts w:ascii="Arial" w:hAnsi="Arial"/>
                        <w:b/>
                        <w:bCs/>
                        <w:sz w:val="26"/>
                        <w:szCs w:val="26"/>
                        <w:rtl/>
                      </w:rPr>
                      <w:alias w:val="3152"/>
                      <w:tag w:val="3152"/>
                      <w:id w:val="-1687905263"/>
                      <w:placeholder>
                        <w:docPart w:val="CEFA768AFD704E90810ABEAB8F82E449"/>
                      </w:placeholder>
                      <w:text w:multiLine="1"/>
                    </w:sdtPr>
                    <w:sdtEndPr/>
                    <w:sdtContent>
                      <w:r w:rsidR="00D27E67">
                        <w:rPr>
                          <w:rFonts w:ascii="Arial" w:hAnsi="Arial" w:hint="cs"/>
                          <w:b/>
                          <w:bCs/>
                          <w:sz w:val="26"/>
                          <w:szCs w:val="26"/>
                          <w:rtl/>
                        </w:rPr>
                        <w:t>פלוני</w:t>
                      </w:r>
                      <w:r w:rsidR="00D27E67">
                        <w:rPr>
                          <w:rFonts w:ascii="Arial" w:hAnsi="Arial"/>
                          <w:b/>
                          <w:bCs/>
                          <w:sz w:val="26"/>
                          <w:szCs w:val="26"/>
                          <w:rtl/>
                        </w:rPr>
                        <w:t xml:space="preserve"> </w:t>
                      </w:r>
                    </w:sdtContent>
                  </w:sdt>
                  <w:r w:rsidR="00D27E67">
                    <w:rPr>
                      <w:rFonts w:ascii="Arial" w:hAnsi="Arial"/>
                      <w:b/>
                      <w:bCs/>
                      <w:sz w:val="26"/>
                      <w:szCs w:val="26"/>
                      <w:rtl/>
                    </w:rPr>
                    <w:t xml:space="preserve"> </w:t>
                  </w:r>
                </w:p>
                <w:p w:rsidR="00D27E67" w:rsidRDefault="00D27E67" w:rsidP="00D27E67">
                  <w:pPr>
                    <w:suppressLineNumbers/>
                    <w:rPr>
                      <w:rtl/>
                    </w:rPr>
                  </w:pPr>
                  <w:r>
                    <w:rPr>
                      <w:rFonts w:ascii="Arial" w:hAnsi="Arial"/>
                      <w:rtl/>
                    </w:rPr>
                    <w:t>ע"י עוה"ד</w:t>
                  </w:r>
                  <w:r>
                    <w:rPr>
                      <w:rtl/>
                    </w:rPr>
                    <w:t xml:space="preserve"> אבי כהן ונוראן עאבסי</w:t>
                  </w:r>
                </w:p>
                <w:p w:rsidR="00D27E67" w:rsidRDefault="00D27E67" w:rsidP="00D27E67">
                  <w:pPr>
                    <w:rPr>
                      <w:rFonts w:ascii="David" w:hAnsi="David"/>
                      <w:sz w:val="26"/>
                      <w:szCs w:val="26"/>
                    </w:rPr>
                  </w:pPr>
                </w:p>
              </w:tc>
            </w:tr>
            <w:tr w:rsidR="00D27E67" w:rsidTr="00D27E67">
              <w:trPr>
                <w:trHeight w:val="355"/>
                <w:jc w:val="center"/>
              </w:trPr>
              <w:tc>
                <w:tcPr>
                  <w:tcW w:w="923" w:type="dxa"/>
                  <w:tcBorders>
                    <w:top w:val="nil"/>
                    <w:left w:val="nil"/>
                    <w:bottom w:val="nil"/>
                    <w:right w:val="nil"/>
                  </w:tcBorders>
                </w:tcPr>
                <w:p w:rsidR="00D27E67" w:rsidRDefault="00D27E67" w:rsidP="00D27E67">
                  <w:pPr>
                    <w:jc w:val="both"/>
                    <w:rPr>
                      <w:rFonts w:ascii="David" w:hAnsi="David"/>
                      <w:sz w:val="26"/>
                      <w:szCs w:val="26"/>
                    </w:rPr>
                  </w:pPr>
                </w:p>
              </w:tc>
              <w:tc>
                <w:tcPr>
                  <w:tcW w:w="3219" w:type="dxa"/>
                  <w:tcBorders>
                    <w:top w:val="nil"/>
                    <w:left w:val="nil"/>
                    <w:bottom w:val="nil"/>
                    <w:right w:val="nil"/>
                  </w:tcBorders>
                </w:tcPr>
                <w:p w:rsidR="00D27E67" w:rsidRDefault="00D27E67" w:rsidP="00D27E67">
                  <w:pPr>
                    <w:jc w:val="both"/>
                    <w:rPr>
                      <w:rFonts w:ascii="David" w:hAnsi="David"/>
                      <w:sz w:val="26"/>
                      <w:szCs w:val="26"/>
                      <w:rtl/>
                    </w:rPr>
                  </w:pPr>
                </w:p>
              </w:tc>
              <w:tc>
                <w:tcPr>
                  <w:tcW w:w="4678" w:type="dxa"/>
                  <w:tcBorders>
                    <w:top w:val="nil"/>
                    <w:left w:val="nil"/>
                    <w:bottom w:val="nil"/>
                    <w:right w:val="nil"/>
                  </w:tcBorders>
                </w:tcPr>
                <w:p w:rsidR="00D27E67" w:rsidRDefault="00D27E67" w:rsidP="00D27E67">
                  <w:pPr>
                    <w:jc w:val="right"/>
                    <w:rPr>
                      <w:rFonts w:ascii="David" w:hAnsi="David"/>
                      <w:sz w:val="26"/>
                      <w:szCs w:val="26"/>
                      <w:rtl/>
                    </w:rPr>
                  </w:pPr>
                </w:p>
              </w:tc>
            </w:tr>
          </w:tbl>
          <w:p w:rsidR="00D27E67" w:rsidRDefault="00D27E67" w:rsidP="00D27E67">
            <w:pPr>
              <w:jc w:val="center"/>
              <w:rPr>
                <w:u w:val="single"/>
                <w:rtl/>
              </w:rPr>
            </w:pPr>
            <w:r>
              <w:rPr>
                <w:rFonts w:hint="cs"/>
                <w:u w:val="single"/>
                <w:rtl/>
              </w:rPr>
              <w:t>נוסח זה של גזר הדין מותר לפרסום</w:t>
            </w:r>
          </w:p>
          <w:p w:rsidR="001E35A0" w:rsidRPr="00D27E67" w:rsidRDefault="001E35A0" w:rsidP="00D27E67">
            <w:pPr>
              <w:jc w:val="center"/>
              <w:rPr>
                <w:u w:val="single"/>
              </w:rPr>
            </w:pPr>
          </w:p>
          <w:tbl>
            <w:tblPr>
              <w:tblStyle w:val="ab"/>
              <w:bidiVisual/>
              <w:tblW w:w="8820" w:type="dxa"/>
              <w:jc w:val="center"/>
              <w:tblLook w:val="01E0" w:firstRow="1" w:lastRow="1" w:firstColumn="1" w:lastColumn="1" w:noHBand="0" w:noVBand="0"/>
            </w:tblPr>
            <w:tblGrid>
              <w:gridCol w:w="8820"/>
            </w:tblGrid>
            <w:tr w:rsidR="00D27E67" w:rsidTr="00D27E67">
              <w:trPr>
                <w:trHeight w:val="355"/>
                <w:jc w:val="center"/>
              </w:trPr>
              <w:tc>
                <w:tcPr>
                  <w:tcW w:w="8820" w:type="dxa"/>
                  <w:tcBorders>
                    <w:top w:val="nil"/>
                    <w:left w:val="nil"/>
                    <w:bottom w:val="nil"/>
                    <w:right w:val="nil"/>
                  </w:tcBorders>
                  <w:hideMark/>
                </w:tcPr>
                <w:p w:rsidR="00D27E67" w:rsidRDefault="00D27E67" w:rsidP="00D27E67">
                  <w:pPr>
                    <w:jc w:val="center"/>
                    <w:rPr>
                      <w:rFonts w:ascii="David" w:hAnsi="David"/>
                      <w:sz w:val="32"/>
                      <w:szCs w:val="32"/>
                      <w:u w:val="single"/>
                    </w:rPr>
                  </w:pPr>
                  <w:r>
                    <w:rPr>
                      <w:rFonts w:ascii="David" w:hAnsi="David"/>
                      <w:b/>
                      <w:bCs/>
                      <w:sz w:val="32"/>
                      <w:szCs w:val="32"/>
                      <w:u w:val="single"/>
                      <w:rtl/>
                    </w:rPr>
                    <w:t>גזר דין</w:t>
                  </w:r>
                </w:p>
              </w:tc>
            </w:tr>
          </w:tbl>
          <w:p w:rsidR="00D27E67" w:rsidRDefault="00D27E67" w:rsidP="00D27E67">
            <w:pPr>
              <w:rPr>
                <w:rFonts w:ascii="Arial" w:hAnsi="Arial"/>
                <w:b/>
                <w:bCs/>
                <w:sz w:val="26"/>
                <w:szCs w:val="26"/>
                <w:rtl/>
              </w:rPr>
            </w:pPr>
          </w:p>
          <w:p w:rsidR="00D27E67" w:rsidRDefault="00D27E67" w:rsidP="00D27E67">
            <w:pPr>
              <w:rPr>
                <w:rFonts w:ascii="Arial" w:hAnsi="Arial"/>
                <w:b/>
                <w:bCs/>
                <w:sz w:val="26"/>
                <w:szCs w:val="26"/>
                <w:rtl/>
              </w:rPr>
            </w:pPr>
          </w:p>
          <w:p w:rsidR="00D27E67" w:rsidRDefault="00D27E67" w:rsidP="00D27E67">
            <w:pPr>
              <w:pStyle w:val="af"/>
              <w:jc w:val="both"/>
              <w:rPr>
                <w:rtl/>
              </w:rPr>
            </w:pPr>
            <w:r>
              <w:rPr>
                <w:rtl/>
              </w:rPr>
              <w:t>רקע</w:t>
            </w:r>
          </w:p>
          <w:p w:rsidR="00D27E67" w:rsidRDefault="00D27E67" w:rsidP="00D27E67">
            <w:pPr>
              <w:pStyle w:val="a0"/>
              <w:tabs>
                <w:tab w:val="num" w:pos="1274"/>
              </w:tabs>
              <w:jc w:val="both"/>
            </w:pPr>
            <w:r>
              <w:rPr>
                <w:rFonts w:hint="cs"/>
                <w:rtl/>
              </w:rPr>
              <w:t>הנאשם, כיום בן 80 שנה, הורשע בהתאם להודאתו בעובדות כתב האישום המתוקן בביצוע עבירות מין בשתי נכדותיו, בעבירות הבאות:</w:t>
            </w:r>
            <w:r>
              <w:rPr>
                <w:rFonts w:hint="cs"/>
                <w:b/>
                <w:bCs/>
                <w:rtl/>
              </w:rPr>
              <w:t xml:space="preserve"> </w:t>
            </w:r>
          </w:p>
          <w:p w:rsidR="00D27E67" w:rsidRDefault="00D27E67" w:rsidP="00D27E67">
            <w:pPr>
              <w:pStyle w:val="a0"/>
              <w:numPr>
                <w:ilvl w:val="1"/>
                <w:numId w:val="2"/>
              </w:numPr>
              <w:tabs>
                <w:tab w:val="num" w:pos="1274"/>
              </w:tabs>
              <w:ind w:left="1274" w:hanging="567"/>
              <w:jc w:val="both"/>
              <w:rPr>
                <w:rtl/>
              </w:rPr>
            </w:pPr>
            <w:r>
              <w:rPr>
                <w:rFonts w:hint="cs"/>
                <w:u w:val="single"/>
                <w:rtl/>
              </w:rPr>
              <w:t>באישום הראשון</w:t>
            </w:r>
            <w:r>
              <w:rPr>
                <w:rFonts w:hint="cs"/>
                <w:rtl/>
              </w:rPr>
              <w:t>:</w:t>
            </w:r>
            <w:r>
              <w:rPr>
                <w:rFonts w:hint="cs"/>
                <w:b/>
                <w:bCs/>
                <w:rtl/>
              </w:rPr>
              <w:t xml:space="preserve"> ניסיון אינוס קטינה בת משפחה (2 עבירות)</w:t>
            </w:r>
            <w:r>
              <w:rPr>
                <w:rFonts w:hint="cs"/>
                <w:rtl/>
              </w:rPr>
              <w:t xml:space="preserve">, לפי סעיפים 351(א) ו-345(א)(1) יחד עם סעיף 25 לחוק העונשין, תשל"ז-1977 (להלן: </w:t>
            </w:r>
            <w:r>
              <w:rPr>
                <w:rFonts w:hint="cs"/>
                <w:b/>
                <w:bCs/>
                <w:rtl/>
              </w:rPr>
              <w:t>החוק</w:t>
            </w:r>
            <w:r>
              <w:rPr>
                <w:rFonts w:hint="cs"/>
                <w:rtl/>
              </w:rPr>
              <w:t xml:space="preserve">); </w:t>
            </w:r>
            <w:r>
              <w:rPr>
                <w:rFonts w:hint="cs"/>
                <w:b/>
                <w:bCs/>
                <w:rtl/>
              </w:rPr>
              <w:t>מעשה מגונה בקטינה מתחת לגיל 16 בת משפחה (ריבוי עבירות)</w:t>
            </w:r>
            <w:r>
              <w:rPr>
                <w:rFonts w:hint="cs"/>
                <w:rtl/>
              </w:rPr>
              <w:t xml:space="preserve">, לפי סעיף 351(ג)(2) ו-348(ב) בנסיבות סעיפים 345(ב)(1) ו-345(א)(1) לחוק </w:t>
            </w:r>
          </w:p>
          <w:p w:rsidR="00D27E67" w:rsidRDefault="00D27E67" w:rsidP="00D27E67">
            <w:pPr>
              <w:pStyle w:val="a0"/>
              <w:numPr>
                <w:ilvl w:val="1"/>
                <w:numId w:val="2"/>
              </w:numPr>
              <w:tabs>
                <w:tab w:val="num" w:pos="1274"/>
              </w:tabs>
              <w:ind w:left="1274" w:hanging="567"/>
              <w:jc w:val="both"/>
            </w:pPr>
            <w:r>
              <w:rPr>
                <w:rFonts w:hint="cs"/>
                <w:u w:val="single"/>
                <w:rtl/>
              </w:rPr>
              <w:t>באישום השני</w:t>
            </w:r>
            <w:r>
              <w:rPr>
                <w:rFonts w:hint="cs"/>
                <w:rtl/>
              </w:rPr>
              <w:t xml:space="preserve">: </w:t>
            </w:r>
            <w:r>
              <w:rPr>
                <w:rFonts w:hint="cs"/>
                <w:b/>
                <w:bCs/>
                <w:rtl/>
              </w:rPr>
              <w:t>מעשה מגונה בקטינה מתחת לגיל 16 בת משפחה</w:t>
            </w:r>
            <w:r>
              <w:rPr>
                <w:rFonts w:hint="cs"/>
                <w:rtl/>
              </w:rPr>
              <w:t>, לפי סעיפים 351(ג)(2) ו-348(ב) בנסיבות סעיפים 345(ב)(1) ו-345(א)(1) לחוק.</w:t>
            </w:r>
          </w:p>
          <w:p w:rsidR="00D27E67" w:rsidRDefault="00D27E67" w:rsidP="00D27E67">
            <w:pPr>
              <w:pStyle w:val="a0"/>
              <w:jc w:val="both"/>
              <w:rPr>
                <w:rtl/>
              </w:rPr>
            </w:pPr>
            <w:r>
              <w:rPr>
                <w:rFonts w:hint="cs"/>
                <w:rtl/>
              </w:rPr>
              <w:t>הצדדים הגיעו להסדר טיעון, לפיו הנאשם הודה והורשע בכתב האישום המתוקן. בין הצדדים לא הייתה הסכמה לעניין העונש. בשלב הצגת ההסדר ביקש הנאשם שיונפקו לו שוברי תשלום בסך 45,000 ₪ עבור פיצוי לנפגעות העבירה, וזאת ללא קשר לסכום הפיצוי שיושת עליו בגזר הדין.</w:t>
            </w:r>
          </w:p>
          <w:p w:rsidR="00D27E67" w:rsidRDefault="00D27E67" w:rsidP="00D27E67">
            <w:pPr>
              <w:pStyle w:val="a0"/>
              <w:jc w:val="both"/>
            </w:pPr>
            <w:r>
              <w:rPr>
                <w:rFonts w:hint="cs"/>
                <w:rtl/>
              </w:rPr>
              <w:t xml:space="preserve">על פי המתואר בעובדות כתב האישום המתוקן, הנאשם, יליד 1944, הוא סבן של הקטינות נפגעות העבירה, א.א (ילידת מאי 08'), וב.ב (ילידת יוני 07'). </w:t>
            </w:r>
          </w:p>
          <w:p w:rsidR="00D27E67" w:rsidRDefault="00D27E67" w:rsidP="00D27E67">
            <w:pPr>
              <w:pStyle w:val="a0"/>
              <w:numPr>
                <w:ilvl w:val="0"/>
                <w:numId w:val="0"/>
              </w:numPr>
              <w:tabs>
                <w:tab w:val="left" w:pos="720"/>
              </w:tabs>
              <w:ind w:left="720"/>
              <w:jc w:val="both"/>
            </w:pPr>
            <w:r>
              <w:rPr>
                <w:rFonts w:hint="cs"/>
                <w:rtl/>
              </w:rPr>
              <w:t>על פי</w:t>
            </w:r>
            <w:r>
              <w:rPr>
                <w:rFonts w:hint="cs"/>
                <w:u w:val="single"/>
                <w:rtl/>
              </w:rPr>
              <w:t xml:space="preserve"> האישום הראשון</w:t>
            </w:r>
            <w:r>
              <w:rPr>
                <w:rFonts w:hint="cs"/>
                <w:rtl/>
              </w:rPr>
              <w:t xml:space="preserve"> בין חודש מאי 16' למאי 17', בעת שהנאשם ורעייתו –  סבתן של נפגעות העבירה – ביקרו בבית משפחתה של א.א (במועד הרלוונטי בת 9-8), נכנס הנאשם לחדרה של א.א בעת שזו שהתה בחדרה, וסגר אחריו את הדלת. הנאשם ישב על מיטתה של א.א והורה לה לשבת על ברכיו והיא עשתה כן. הנאשם ליטף בידו </w:t>
            </w:r>
            <w:r>
              <w:rPr>
                <w:rFonts w:hint="cs"/>
                <w:rtl/>
              </w:rPr>
              <w:lastRenderedPageBreak/>
              <w:t>את ירכיה ואת איבר מינה מעל לבגדיה. הנאשם חדל ממעשיו רק כאשר אימה של א.א דפקה על הדלת ונכנסה לחדר.</w:t>
            </w:r>
          </w:p>
          <w:p w:rsidR="00D27E67" w:rsidRDefault="00D27E67" w:rsidP="00D27E67">
            <w:pPr>
              <w:pStyle w:val="a0"/>
              <w:numPr>
                <w:ilvl w:val="0"/>
                <w:numId w:val="0"/>
              </w:numPr>
              <w:tabs>
                <w:tab w:val="left" w:pos="720"/>
              </w:tabs>
              <w:ind w:left="720"/>
              <w:jc w:val="both"/>
            </w:pPr>
            <w:r>
              <w:rPr>
                <w:rFonts w:hint="cs"/>
                <w:rtl/>
              </w:rPr>
              <w:t>בתקופה שבין ינואר 18' עד מאי 22' התגוררה א.א יחד עם הנאשם ועם סבתה, בבית הנאשם, ונותרה להתגורר שם גם לאחר חודש נובמבר 21', עת עזבה אימה את בית הנאשם.</w:t>
            </w:r>
          </w:p>
          <w:p w:rsidR="00D27E67" w:rsidRDefault="00D27E67" w:rsidP="00D27E67">
            <w:pPr>
              <w:pStyle w:val="a0"/>
              <w:numPr>
                <w:ilvl w:val="0"/>
                <w:numId w:val="0"/>
              </w:numPr>
              <w:tabs>
                <w:tab w:val="left" w:pos="720"/>
              </w:tabs>
              <w:ind w:left="720"/>
              <w:jc w:val="both"/>
              <w:rPr>
                <w:rtl/>
              </w:rPr>
            </w:pPr>
            <w:r>
              <w:rPr>
                <w:rFonts w:hint="cs"/>
                <w:rtl/>
              </w:rPr>
              <w:t xml:space="preserve">במועדים שונים בתקופה שבין נובמבר 18' ועד למאי 22' כאשר א.א התגוררה בבית הנאשם, נהג הנאשם לאחוז בישבנה של א.א או ללטפו. </w:t>
            </w:r>
          </w:p>
          <w:p w:rsidR="00D27E67" w:rsidRDefault="00D27E67" w:rsidP="00D27E67">
            <w:pPr>
              <w:pStyle w:val="a0"/>
              <w:numPr>
                <w:ilvl w:val="0"/>
                <w:numId w:val="0"/>
              </w:numPr>
              <w:tabs>
                <w:tab w:val="left" w:pos="720"/>
              </w:tabs>
              <w:ind w:left="720"/>
              <w:jc w:val="both"/>
            </w:pPr>
            <w:r>
              <w:rPr>
                <w:rFonts w:hint="cs"/>
                <w:rtl/>
              </w:rPr>
              <w:t xml:space="preserve">בין חודש מאי 18' ועד למאי 20' (בעת שא.א הייתה בת 12-10) במועדים שונים, בעת שא.א התגוררה בבית הנאשם, נכנס הנאשם לחדרה של א.א, התיישב על מיטתה בעת ששכבה עליה, נגע באמצעות ידו בירכיה וחיכך אצבעותיו באיבר מינה מעל לבגדיה. בשלושה מועדים שונים שפשף הנאשם באמצעות אצבעותיו את איבר מינה של א.א מתחת לבגדיה. בחלק מהאירועים ביקשה א.א מהנאשם לחדול ממעשיו. </w:t>
            </w:r>
          </w:p>
          <w:p w:rsidR="00D27E67" w:rsidRDefault="00D27E67" w:rsidP="00D27E67">
            <w:pPr>
              <w:pStyle w:val="a0"/>
              <w:numPr>
                <w:ilvl w:val="0"/>
                <w:numId w:val="0"/>
              </w:numPr>
              <w:tabs>
                <w:tab w:val="left" w:pos="720"/>
              </w:tabs>
              <w:ind w:left="720"/>
              <w:jc w:val="both"/>
              <w:rPr>
                <w:rtl/>
              </w:rPr>
            </w:pPr>
            <w:r>
              <w:rPr>
                <w:rFonts w:hint="cs"/>
                <w:rtl/>
              </w:rPr>
              <w:t xml:space="preserve">במועד אחד בין חודש מאי 18' למאי 19' בעת שא.א הייתה בת 11-10 והתגוררה בביתו של הנאשם, בשעת לילה, נכנס הנאשם לחדרה של א.א, התיישב על מיטתה בעודה שוכבת, הכניס את ידו מתחת לתחתוניה וניסה להחדיר אצבע מאצבעותיו לאיבר מינה. לא.א נגרם כאב ממעשי הנאשם, היא אחזה בידו של הנאשם, ניסתה להרחיקה ואמרה לו לחדול ממעשיו וכי "זה לא נעים לי". חרף האמור, המשיך הנאשם במעשיו עד ששמע צעדים מחוץ לחדרה של א.א, אז חדל ממעשיו ויצא מהחדר. </w:t>
            </w:r>
          </w:p>
          <w:p w:rsidR="00D27E67" w:rsidRDefault="00D27E67" w:rsidP="00D27E67">
            <w:pPr>
              <w:pStyle w:val="a0"/>
              <w:numPr>
                <w:ilvl w:val="0"/>
                <w:numId w:val="0"/>
              </w:numPr>
              <w:tabs>
                <w:tab w:val="left" w:pos="720"/>
              </w:tabs>
              <w:ind w:left="720"/>
              <w:jc w:val="both"/>
              <w:rPr>
                <w:rtl/>
              </w:rPr>
            </w:pPr>
            <w:r>
              <w:rPr>
                <w:rFonts w:hint="cs"/>
                <w:rtl/>
              </w:rPr>
              <w:t>במועד נוסף בין מאי 20' ועד למאי 21', בעת שא.א הייתה בת 13-12, בשעת לילה נכנס הנאשם לחדרה של א.א והתיישב על מיטתה בעודה שוכבת. הוא הכניס את ידו מתחת לבגדיה, הסיט את תחתוניה וניסה להחדיר את אצבעותיו לאיבר מינה. א.א חשה כאב בשל מעשי הנאשם, אחזה בידו וניסתה להרחיקה, אך הנאשם המשיך במעשיו עד ששמע את צעדי סבתה של א.א קרבים לדלת ואז חדל ממעשיו. בהמשך לכך, א.א דיממה מאיבר מינה.</w:t>
            </w:r>
          </w:p>
          <w:p w:rsidR="00D27E67" w:rsidRDefault="00D27E67" w:rsidP="00D27E67">
            <w:pPr>
              <w:pStyle w:val="a0"/>
              <w:jc w:val="both"/>
              <w:rPr>
                <w:rtl/>
              </w:rPr>
            </w:pPr>
            <w:r>
              <w:rPr>
                <w:rFonts w:hint="cs"/>
                <w:rtl/>
              </w:rPr>
              <w:t xml:space="preserve">על פי המתואר </w:t>
            </w:r>
            <w:r>
              <w:rPr>
                <w:rFonts w:hint="cs"/>
                <w:u w:val="single"/>
                <w:rtl/>
              </w:rPr>
              <w:t>באישום השני</w:t>
            </w:r>
            <w:r>
              <w:rPr>
                <w:rFonts w:hint="cs"/>
                <w:rtl/>
              </w:rPr>
              <w:t xml:space="preserve">, במהלך התקופה שבין יוני 13' ועד ליוני 14' במועד אחד, שהתה ב.ב (בתקופה הרלוונטית בת 7-6) יחד עם בני משפחתה בביתו של הנאשם. הנאשם ביקש מב.ב לבוא לחדר בו שהה והיא עשתה כן. הנאשם נתן לב.ב משחק מחשב והיא שחקה בו. בהמשך לכך, הורה הנאשם לב.ב לשבת על ברכיו, היא עשתה כן, והוא נגע באמצעות ידו באיבר מינה מתחת לבגדיה, וחיכך את אצבעותיו באיבר מינה. </w:t>
            </w:r>
          </w:p>
          <w:p w:rsidR="00D27E67" w:rsidRDefault="00D27E67" w:rsidP="00D27E67">
            <w:pPr>
              <w:pStyle w:val="af"/>
              <w:jc w:val="both"/>
              <w:rPr>
                <w:rtl/>
              </w:rPr>
            </w:pPr>
            <w:r>
              <w:rPr>
                <w:rtl/>
              </w:rPr>
              <w:t>טיעוני הצדדים</w:t>
            </w:r>
          </w:p>
          <w:p w:rsidR="00D27E67" w:rsidRDefault="00D27E67" w:rsidP="00D27E67">
            <w:pPr>
              <w:pStyle w:val="a0"/>
              <w:jc w:val="both"/>
              <w:rPr>
                <w:rtl/>
              </w:rPr>
            </w:pPr>
            <w:r>
              <w:rPr>
                <w:rFonts w:hint="cs"/>
                <w:rtl/>
              </w:rPr>
              <w:t xml:space="preserve">ב"כ המאשימה, עו"ד רועי לוס, טען כי הפגיעות שהנאשם ביצע בשתי נכדותיו לאורך שנים מאז היו צעירות מאוד, ואשר נעשו בסמיכות לבני משפחה נוספים, מלמדות על תעוזה רבה. הנאשם היה דמות אב עבור א.א וניצל את התקופה המשברית שחוותה אימה ואת הטלטלה שחוותה א.א בעת שלא הייתה בחזקת הוריה, אלא בחזקתו, וניצל את האמון שניתן בו. הנזקים הכבדים שנגרמו ממעשי הנאשם לא.א פורטו בתסקיר. אף שבעניינה של ב.ב לא הוגש בסופו של דבר תסקיר נפגעת עבירה, ניתן להבין שכוחותיה לא עמדו לה אף לטובת הגשת תסקיר. עומק הפגיעות אצל קורבנות עבירות מין בפרט בתוך המשפחה ובגיל כה צעיר הוא משמעותי. במסגרת הנסיבות הקשורות בביצוע העבירה הפנה ב"כ המאשימה לכך שמדובר בשתי נפגעות עבירה ולגילן הצעיר; ריבוי מקרים; </w:t>
            </w:r>
            <w:r>
              <w:rPr>
                <w:rFonts w:hint="cs"/>
                <w:rtl/>
              </w:rPr>
              <w:lastRenderedPageBreak/>
              <w:t xml:space="preserve">התעוזה לבצע את המעשים בסמיכות לבני משפחה נוספים; מעמדו המיוחד של הנאשם בקשר עם א.א וניצול סיטואציה משפחתית רגישה וקשה. </w:t>
            </w:r>
          </w:p>
          <w:p w:rsidR="00D27E67" w:rsidRDefault="00D27E67" w:rsidP="00D27E67">
            <w:pPr>
              <w:pStyle w:val="a0"/>
              <w:numPr>
                <w:ilvl w:val="0"/>
                <w:numId w:val="0"/>
              </w:numPr>
              <w:tabs>
                <w:tab w:val="left" w:pos="720"/>
              </w:tabs>
              <w:ind w:left="720"/>
              <w:jc w:val="both"/>
              <w:rPr>
                <w:rtl/>
              </w:rPr>
            </w:pPr>
            <w:r>
              <w:rPr>
                <w:rFonts w:hint="cs"/>
                <w:rtl/>
              </w:rPr>
              <w:t>המאשימה עתרה לקבוע שלושה מתחמי עונש נפרדים: ביחס לעבירות ניסיון אינוס באישום הראשון – מתחם עונש הנע בין 6 ועד ל-8 שנות מאסר; ביחס למעשים המגונים באישום הראשון – מתחם עונש הנע בין 4 ועד ל-6 שנות מאסר; ביחס למעשים המגונים באישום השני – מתחם עונש הנע בין 45 ועד ל-60 חודשי מאסר בפועל. המאשימה ביקשה להטיל על הנאשם עונש של 11 שנות מאסר בפועל, מאסר על תנאי ופיצוי משמעותי לנפגעות העבירה.</w:t>
            </w:r>
          </w:p>
          <w:p w:rsidR="00D27E67" w:rsidRDefault="00D27E67" w:rsidP="00D27E67">
            <w:pPr>
              <w:pStyle w:val="a0"/>
              <w:jc w:val="both"/>
            </w:pPr>
            <w:r>
              <w:rPr>
                <w:rFonts w:hint="cs"/>
                <w:rtl/>
              </w:rPr>
              <w:t xml:space="preserve">ב"כ הנאשם, עוה"ד אבי כהן ונוראן עבאסי, טענו כי מדובר בנאשם בן 80, ללא עבר פלילי, חולה אונקולוגי במצב מורכב, ולוקה אף בבעיות בלִבּו. בחודש שעבר נותח הנאשם לשם הוצאת גידולים סרטניים מגופו והוא הופנה לניתוח נוסף. על אף חומרת מעשיו, יש לתת משקל מכריע למצבו הרפואי ולגילו המבוגר. </w:t>
            </w:r>
          </w:p>
          <w:p w:rsidR="00D27E67" w:rsidRDefault="00D27E67" w:rsidP="00D27E67">
            <w:pPr>
              <w:pStyle w:val="a0"/>
              <w:numPr>
                <w:ilvl w:val="0"/>
                <w:numId w:val="0"/>
              </w:numPr>
              <w:tabs>
                <w:tab w:val="left" w:pos="720"/>
              </w:tabs>
              <w:ind w:left="720"/>
              <w:jc w:val="both"/>
              <w:rPr>
                <w:rtl/>
              </w:rPr>
            </w:pPr>
            <w:r>
              <w:rPr>
                <w:rFonts w:hint="cs"/>
                <w:rtl/>
              </w:rPr>
              <w:t xml:space="preserve">ב"כ הנאשם הפנו למסמכים רפואיים מטעם השב"ס </w:t>
            </w:r>
            <w:r>
              <w:rPr>
                <w:rFonts w:ascii="Calibri" w:hAnsi="Calibri" w:hint="cs"/>
                <w:rtl/>
                <w:lang w:eastAsia="he-IL"/>
              </w:rPr>
              <w:t>מיום 26.10.23 (נ/1) ו</w:t>
            </w:r>
            <w:r>
              <w:rPr>
                <w:rFonts w:hint="cs"/>
                <w:rtl/>
                <w:lang w:eastAsia="he-IL"/>
              </w:rPr>
              <w:t>-3.12.23</w:t>
            </w:r>
            <w:r>
              <w:rPr>
                <w:rFonts w:hint="cs"/>
                <w:b/>
                <w:bCs/>
                <w:rtl/>
                <w:lang w:eastAsia="he-IL"/>
              </w:rPr>
              <w:t xml:space="preserve"> </w:t>
            </w:r>
            <w:r>
              <w:rPr>
                <w:rFonts w:hint="cs"/>
                <w:rtl/>
                <w:lang w:eastAsia="he-IL"/>
              </w:rPr>
              <w:t>(נ/2)</w:t>
            </w:r>
            <w:r>
              <w:rPr>
                <w:rFonts w:hint="cs"/>
                <w:b/>
                <w:bCs/>
                <w:rtl/>
                <w:lang w:eastAsia="he-IL"/>
              </w:rPr>
              <w:t xml:space="preserve"> </w:t>
            </w:r>
            <w:r>
              <w:rPr>
                <w:rFonts w:ascii="Calibri" w:hAnsi="Calibri" w:hint="cs"/>
                <w:b/>
                <w:bCs/>
                <w:rtl/>
                <w:lang w:eastAsia="he-IL"/>
              </w:rPr>
              <w:t xml:space="preserve">– </w:t>
            </w:r>
            <w:r>
              <w:rPr>
                <w:rFonts w:ascii="Calibri" w:hAnsi="Calibri" w:hint="cs"/>
                <w:rtl/>
                <w:lang w:eastAsia="he-IL"/>
              </w:rPr>
              <w:t>מהם עולה כי הנאשם עבר שלושה צנתורים, סובל מסכרת ומיתר לחץ דם, והוא חולה אונקולוגי מאז שאובחן בחודש פברואר 22' כחולה סרטן הערמונית. טופל בטיפול קרינתי והורמונלי. נמצא</w:t>
            </w:r>
            <w:r>
              <w:rPr>
                <w:rFonts w:ascii="Calibri" w:hAnsi="Calibri" w:hint="cs"/>
                <w:b/>
                <w:bCs/>
                <w:rtl/>
                <w:lang w:eastAsia="he-IL"/>
              </w:rPr>
              <w:t xml:space="preserve"> </w:t>
            </w:r>
            <w:r>
              <w:rPr>
                <w:rFonts w:hint="cs"/>
                <w:rtl/>
                <w:lang w:eastAsia="he-IL"/>
              </w:rPr>
              <w:t>במעקב אורולוגי ואונקולוגי לאחר שסיים טיפול כימותרפי ועבר ניתוח. בחודש נובמבר 23' נבדק ונמצאה הישנות של המחלה. הופנה לניתוח חוזר.</w:t>
            </w:r>
          </w:p>
          <w:p w:rsidR="00D27E67" w:rsidRDefault="00D27E67" w:rsidP="00D27E67">
            <w:pPr>
              <w:pStyle w:val="a0"/>
              <w:numPr>
                <w:ilvl w:val="0"/>
                <w:numId w:val="0"/>
              </w:numPr>
              <w:tabs>
                <w:tab w:val="left" w:pos="720"/>
              </w:tabs>
              <w:ind w:left="720"/>
              <w:jc w:val="both"/>
            </w:pPr>
            <w:r>
              <w:rPr>
                <w:rFonts w:hint="cs"/>
                <w:rtl/>
              </w:rPr>
              <w:t>לטענת ב"כ הנאשם, מצפונו של הנאשם מייסר אותו וכבר בחקירותיו הוא הודה בביצוע העבירות עוד בטרם החל משפטו. למרות שגרסתן של נפגעות העבירה כבושות ללא כל ראיות מחזקות, הוא הודה ובכך חיזק את נכדותיו שדיברו אמת.</w:t>
            </w:r>
          </w:p>
          <w:p w:rsidR="00D27E67" w:rsidRDefault="00D27E67" w:rsidP="00D27E67">
            <w:pPr>
              <w:pStyle w:val="a0"/>
              <w:numPr>
                <w:ilvl w:val="0"/>
                <w:numId w:val="0"/>
              </w:numPr>
              <w:tabs>
                <w:tab w:val="left" w:pos="720"/>
              </w:tabs>
              <w:ind w:left="720"/>
              <w:jc w:val="both"/>
              <w:rPr>
                <w:rtl/>
              </w:rPr>
            </w:pPr>
            <w:r>
              <w:rPr>
                <w:rFonts w:hint="cs"/>
                <w:rtl/>
              </w:rPr>
              <w:t>תנאי המעצר בהם שוהה הנאשם קשים לו מאוד, אין לו מבקרים ומצבו הרפואי מורכב. הנאשם ביקש לפצות את נכדותיו ולבקשתו הונפקו לו שוברי תשלום עוד בטרם נגזר דינו (נ/3). נוכח מעצרו, הנאשם ייפה את כוחה של בתו לשם תשלום השוברים, אולם הדבר לא נעשה, אך הדבר מעבר לשליטתו.</w:t>
            </w:r>
          </w:p>
          <w:p w:rsidR="00D27E67" w:rsidRDefault="00D27E67" w:rsidP="00D27E67">
            <w:pPr>
              <w:pStyle w:val="a0"/>
              <w:numPr>
                <w:ilvl w:val="0"/>
                <w:numId w:val="0"/>
              </w:numPr>
              <w:tabs>
                <w:tab w:val="left" w:pos="720"/>
              </w:tabs>
              <w:ind w:left="720"/>
              <w:jc w:val="both"/>
              <w:rPr>
                <w:rtl/>
              </w:rPr>
            </w:pPr>
            <w:r>
              <w:rPr>
                <w:rFonts w:hint="cs"/>
                <w:rtl/>
              </w:rPr>
              <w:t>באשר לנסיבות הקשורות בביצוע העבירות, אין המדובר במעשה אינוס אלא בניסיון אינוס ובמעשים מגונים. ביחס לאישום השני מדובר במעשה חד פעמי שהתרחש לפי עשור, ללא אלימות או איומים. המעשים הופסקו ביוזמת הנאשם כשנתיים טרם למעצרו.</w:t>
            </w:r>
          </w:p>
          <w:p w:rsidR="00D27E67" w:rsidRDefault="00D27E67" w:rsidP="00D27E67">
            <w:pPr>
              <w:pStyle w:val="a0"/>
              <w:numPr>
                <w:ilvl w:val="0"/>
                <w:numId w:val="0"/>
              </w:numPr>
              <w:tabs>
                <w:tab w:val="left" w:pos="720"/>
              </w:tabs>
              <w:ind w:left="720"/>
              <w:jc w:val="both"/>
              <w:rPr>
                <w:rtl/>
              </w:rPr>
            </w:pPr>
            <w:r>
              <w:rPr>
                <w:rFonts w:hint="cs"/>
                <w:rtl/>
              </w:rPr>
              <w:t xml:space="preserve">נוכח גילו המבוגר ומצבו הרפואי עתרה ההגנה לעונש של 18 חודשי מאסר בפועל, ולכך שבית המשפט ימליץ שהנאשם ירצה את עונשו במסגרת מר"ש בשל הצורך במעקב ובטיפול רפואי צמוד. </w:t>
            </w:r>
          </w:p>
          <w:p w:rsidR="00D27E67" w:rsidRDefault="00D27E67" w:rsidP="00D27E67">
            <w:pPr>
              <w:pStyle w:val="a0"/>
              <w:jc w:val="both"/>
              <w:rPr>
                <w:rtl/>
              </w:rPr>
            </w:pPr>
            <w:r>
              <w:rPr>
                <w:rFonts w:hint="cs"/>
                <w:rtl/>
              </w:rPr>
              <w:t>הנאשם בדבריו לעניין העונש ביקש להתנצל על מעשיו, מבין את חומרת מעשיו ומבקש את סליחת נפגעות העבירה.</w:t>
            </w:r>
          </w:p>
          <w:p w:rsidR="00D27E67" w:rsidRDefault="00D27E67" w:rsidP="00D27E67">
            <w:pPr>
              <w:pStyle w:val="af"/>
              <w:jc w:val="both"/>
            </w:pPr>
            <w:r>
              <w:rPr>
                <w:sz w:val="28"/>
                <w:szCs w:val="28"/>
                <w:rtl/>
              </w:rPr>
              <w:t xml:space="preserve">דיון והכרעה </w:t>
            </w:r>
          </w:p>
          <w:p w:rsidR="00D27E67" w:rsidRDefault="00D27E67" w:rsidP="00D27E67">
            <w:pPr>
              <w:pStyle w:val="af"/>
              <w:jc w:val="both"/>
            </w:pPr>
            <w:r>
              <w:rPr>
                <w:rtl/>
              </w:rPr>
              <w:t>קביעת מתחם העונש ההולם</w:t>
            </w:r>
          </w:p>
          <w:p w:rsidR="00D27E67" w:rsidRDefault="00D27E67" w:rsidP="00D27E67">
            <w:pPr>
              <w:pStyle w:val="a0"/>
              <w:jc w:val="both"/>
              <w:rPr>
                <w:rtl/>
              </w:rPr>
            </w:pPr>
            <w:r>
              <w:rPr>
                <w:rFonts w:hint="cs"/>
                <w:rtl/>
              </w:rPr>
              <w:t xml:space="preserve">כתב האישום כולל שני אישומים נפרדים ובהם עבירות כלפי שתי נפגעות עבירה. הנאשם ביצע מעשים שונים כלפי כל אחת מנפגעות העבירה, נכדותיו. בא.א ביצע הנאשם שתי עבירות של ניסיון אינוס, לצד ריבוי עבירות של מעשים מגונים בקטינה בת משפחה. לעומת זאת, כלפי ב.ב ביצע עבירה אחת של מעשים מגונים בקטינה בת משפחה. על אף שהנאשם פעל בדפוס דומה של מעשים, לא ניתן לראות בכך סדרה אחת של מעשים שקיים ביניהם קשר ענייני הדוק במסגרת פרשייה אחת. קביעת מתחמי עונש נפרדים בנוגע לכל נפגעת עבירה מבטאת הכרה בפגיעה בכל אחת </w:t>
            </w:r>
            <w:r>
              <w:rPr>
                <w:rFonts w:hint="cs"/>
                <w:rtl/>
              </w:rPr>
              <w:lastRenderedPageBreak/>
              <w:t xml:space="preserve">מהן, ויש לראות מעשים כלפי קורבנות עבירה שונים כאירועים שונים, אף אם קיימים קווי דמיון מסוימים באופי המעשים. לפיכך ובהתאם למבחני הפסיקה שנקבעו בפסיקה, אנו סבורים כי יש מקום לקבוע מתחם עונש נפרד למעשים שבוצעו כלפי כל נפגעת עבירה (ע"פ 4910/13 </w:t>
            </w:r>
            <w:r>
              <w:rPr>
                <w:rFonts w:hint="cs"/>
                <w:b/>
                <w:bCs/>
                <w:rtl/>
              </w:rPr>
              <w:t>ג'אבר נ' מדינת ישראל</w:t>
            </w:r>
            <w:r>
              <w:rPr>
                <w:rFonts w:hint="cs"/>
                <w:rtl/>
              </w:rPr>
              <w:t xml:space="preserve"> (29.10.2014) ובע"פ 319/17 </w:t>
            </w:r>
            <w:r>
              <w:rPr>
                <w:rFonts w:hint="cs"/>
                <w:b/>
                <w:bCs/>
                <w:rtl/>
              </w:rPr>
              <w:t>פלוני נ' מדינת ישראל</w:t>
            </w:r>
            <w:r>
              <w:rPr>
                <w:rFonts w:hint="cs"/>
                <w:rtl/>
              </w:rPr>
              <w:t xml:space="preserve"> (19.7.2018)). בצד זה, לא מצאנו הצדקה לפצל באופן מלאכותי את אירועי האישום הראשון בהתאם לחומרת העבירות, כפי הצעת המאשימה, ולפיכך נקבע מתחם עונש הולם אחד בנוגע לכל המעשים שביצע הנאשם בא.א.</w:t>
            </w:r>
          </w:p>
          <w:p w:rsidR="00D27E67" w:rsidRDefault="00D27E67" w:rsidP="00D27E67">
            <w:pPr>
              <w:pStyle w:val="a0"/>
              <w:jc w:val="both"/>
            </w:pPr>
            <w:r>
              <w:rPr>
                <w:rFonts w:hint="cs"/>
                <w:rtl/>
              </w:rPr>
              <w:t xml:space="preserve">הנאשם פגע בשורה של ערכים מוגנים ובראשם, כבודן, נפשן וגופן של נפגעות העבירה, זכותן לחירות ולאוטונומיה על גופן, לביטחונן האישי והאמון הטבוע בתא המשפחתי. חומרה יתרה מאפיינת עבירות מין המבוצעות בקטינה על ידי בן משפחה ובמקרה זה סבן של נפגעות העבירה, בסביבה שבה הן אמורות לחוש בטוחות ומוגנות, תוך ניצול לרעה של הקִרבה ושל האמון השורר במסגרת התא המשפחתי בין הפוגע לבין נפגעת העבירה, כמו גם את כוחו העדיף, פער הגילים המשמעותי ומעמדו כלפי הנפגעות. גילם הצעיר ותמימותם של ילדות וילדים נפגעי עבירה הופכים אותם לפגיעים במיוחד, בפרט כאשר הפגיעה מתרחשת על ידי קרוב משפחה בוגר המנצל זאת, בתוך ביתם מבצרם. בית המשפט העליון עמד פעמים רבות על הצורך בענישה מחמירה בעבירות מין במשפחה שהן מהבזויות שבספר החוקים. על הענישה לשקף את הפסול המוסרי שטמון בהן ואת ההוקעה והסלידה החברתית ממעשים אלה, ולהעניק ביטוי הולם לפגיעה החמורה בקטינות. עבירות מין אשר מתבצעות בחוג המשפחה, פוגעות לא רק בגוף אלא גם בנפש, תוך שהן מרסקות את האמון הבסיסי במקום שאמור להיות מוגן ובטוח לקטינות נפגעות העבירה. על העונש להעמיד במרכזו את הפגיעה בנפגעת העבירה, שעלולה ללוותה למשך כל חייה, ולא בנקל תימחה עם חלוף הזמן. במקרים שבהם העבירה מתבצעת בתוך התא המשפחתי, הפגיעה אינה מצטמצמת אך לנפגעת העבירה הישירה, אלא יש לה השלכות הרסניות על המרקם המשפחתי כולו. משכך, נדרשת ענישה מחמירה בעבירות מסוג זה אשר תבטא את ההוקעה החברתית והפסול המוסרי שבמעשים </w:t>
            </w:r>
            <w:r>
              <w:rPr>
                <w:rFonts w:hint="cs"/>
                <w:color w:val="auto"/>
                <w:rtl/>
              </w:rPr>
              <w:t>(</w:t>
            </w:r>
            <w:r>
              <w:rPr>
                <w:rFonts w:hint="cs"/>
                <w:rtl/>
              </w:rPr>
              <w:t xml:space="preserve">כב' משנה לנשיאה (כתוארו אז) ע' פוגלמן ע"פ 4099/22 </w:t>
            </w:r>
            <w:r>
              <w:rPr>
                <w:rFonts w:hint="cs"/>
                <w:b/>
                <w:bCs/>
                <w:rtl/>
              </w:rPr>
              <w:t>פלוני נ' מדינת ישראל</w:t>
            </w:r>
            <w:r>
              <w:rPr>
                <w:rFonts w:hint="cs"/>
                <w:rtl/>
              </w:rPr>
              <w:t>, פיסקה 6 (6.12.2022);</w:t>
            </w:r>
            <w:r>
              <w:rPr>
                <w:rFonts w:hint="cs"/>
                <w:color w:val="auto"/>
                <w:rtl/>
              </w:rPr>
              <w:t xml:space="preserve"> </w:t>
            </w:r>
            <w:r>
              <w:rPr>
                <w:rFonts w:hint="cs"/>
                <w:rtl/>
              </w:rPr>
              <w:t xml:space="preserve">כב' השופטת ד' ברק-ארז בע"פ 3615/18 </w:t>
            </w:r>
            <w:r>
              <w:rPr>
                <w:rFonts w:hint="cs"/>
                <w:b/>
                <w:bCs/>
                <w:rtl/>
              </w:rPr>
              <w:t>פלוני נ' מדינת ישראל</w:t>
            </w:r>
            <w:r>
              <w:rPr>
                <w:rFonts w:hint="cs"/>
                <w:rtl/>
              </w:rPr>
              <w:t>, פיסקה 71 (26.3.2020); כב' השופטת י' וילנר בע"פ 5815/22 </w:t>
            </w:r>
            <w:r>
              <w:rPr>
                <w:rFonts w:hint="cs"/>
                <w:b/>
                <w:bCs/>
                <w:rtl/>
              </w:rPr>
              <w:t>פלוני נ' מדינת ישראל</w:t>
            </w:r>
            <w:r>
              <w:rPr>
                <w:rFonts w:hint="cs"/>
                <w:rtl/>
              </w:rPr>
              <w:t xml:space="preserve">, פיסקה 17 (31.05.2023); כב' השופט ד' מינץ בע"פ 2783/22 </w:t>
            </w:r>
            <w:r>
              <w:rPr>
                <w:rFonts w:hint="cs"/>
                <w:b/>
                <w:bCs/>
                <w:rtl/>
              </w:rPr>
              <w:t>דאבוש נ' מדינת ישראל</w:t>
            </w:r>
            <w:r>
              <w:rPr>
                <w:rFonts w:hint="cs"/>
                <w:rtl/>
              </w:rPr>
              <w:t>, פיסקה 57 (12.5.2023)</w:t>
            </w:r>
            <w:r>
              <w:rPr>
                <w:rFonts w:hint="cs"/>
                <w:color w:val="auto"/>
                <w:rtl/>
              </w:rPr>
              <w:t>; כב' השופט י' אלרון בע"פ</w:t>
            </w:r>
            <w:r>
              <w:rPr>
                <w:rFonts w:hint="cs"/>
                <w:rtl/>
              </w:rPr>
              <w:t xml:space="preserve"> 1831/21 </w:t>
            </w:r>
            <w:r>
              <w:rPr>
                <w:rFonts w:hint="cs"/>
                <w:b/>
                <w:bCs/>
                <w:rtl/>
              </w:rPr>
              <w:t>מדינת ישראל נ' פלוני</w:t>
            </w:r>
            <w:r>
              <w:rPr>
                <w:rFonts w:hint="cs"/>
                <w:rtl/>
              </w:rPr>
              <w:t>, פיסקה 15 (30.1.2022)).</w:t>
            </w:r>
          </w:p>
          <w:p w:rsidR="00D27E67" w:rsidRDefault="00D27E67" w:rsidP="00D27E67">
            <w:pPr>
              <w:pStyle w:val="a0"/>
              <w:jc w:val="both"/>
            </w:pPr>
            <w:r>
              <w:rPr>
                <w:rFonts w:hint="cs"/>
                <w:rtl/>
              </w:rPr>
              <w:t xml:space="preserve">בחינת </w:t>
            </w:r>
            <w:r>
              <w:rPr>
                <w:rFonts w:hint="cs"/>
                <w:b/>
                <w:bCs/>
                <w:rtl/>
              </w:rPr>
              <w:t xml:space="preserve">מידת הפגיעה בערך המוגן </w:t>
            </w:r>
            <w:r>
              <w:rPr>
                <w:rFonts w:hint="cs"/>
                <w:rtl/>
              </w:rPr>
              <w:t xml:space="preserve">מובילה למסקנה כי הפגיעה היא ברף משמעותי וזאת בהינתן התקופה הממושכת בה ביצע הנאשם את העבירות כלפי נכדתו א.א, טיב וריבוי המעשים כמו גם ההסלמה באופי פגיעותיו המיניות בה. מידת הפגיעה בערכים המוגנים מתעצמת לנוכח גילן הצעיר של נפגעות העבירה, א.א שהייתה כבת 8 כאשר החל הנאשם לבצע בה מעשים מיניים וב.ב שהיתה בת 7 בעת שפגע בה הנאשם; פער הגילים המשמעותי בין הנאשם לבינן; ומעמדו כסב כאשר בחלק מהתקופה הקטינה א.א התגוררה בביתו. </w:t>
            </w:r>
          </w:p>
          <w:p w:rsidR="00D27E67" w:rsidRDefault="00D27E67" w:rsidP="00D27E67">
            <w:pPr>
              <w:pStyle w:val="a0"/>
              <w:numPr>
                <w:ilvl w:val="0"/>
                <w:numId w:val="0"/>
              </w:numPr>
              <w:tabs>
                <w:tab w:val="left" w:pos="720"/>
              </w:tabs>
              <w:ind w:left="720"/>
              <w:jc w:val="both"/>
            </w:pPr>
            <w:r>
              <w:rPr>
                <w:rFonts w:hint="cs"/>
                <w:rtl/>
              </w:rPr>
              <w:t>חומרת העבירות בהן הורשע הנאשם נלמדת גם מהעונש המרבי הקבוע לצידן, העומד על 20 שנות מאסר בגין עבירת ניסיון אינוס בת משפחה קטינה, ועונש מרבי של 15 שנות מאסר העומד לצד עבירת מעשים מגונים בבת משפחה שטרם מלאו לה 16 שנים.</w:t>
            </w:r>
          </w:p>
          <w:p w:rsidR="00D27E67" w:rsidRDefault="00D27E67" w:rsidP="00D27E67">
            <w:pPr>
              <w:pStyle w:val="a0"/>
              <w:numPr>
                <w:ilvl w:val="0"/>
                <w:numId w:val="0"/>
              </w:numPr>
              <w:tabs>
                <w:tab w:val="left" w:pos="720"/>
              </w:tabs>
              <w:ind w:left="720"/>
              <w:jc w:val="both"/>
            </w:pPr>
            <w:r>
              <w:rPr>
                <w:rFonts w:hint="cs"/>
                <w:rtl/>
              </w:rPr>
              <w:lastRenderedPageBreak/>
              <w:t xml:space="preserve">העונש המזערי הקבוע בסעיף 355 לחוק מורה שהעונש בעבירות מין מסוג זה לא יפחת מרבע העונש המרבי, אלא אם כן קיימים טעמים מיוחדים שיירשמו להקל בעונשו. במקרה זה עונש המינימום בגין עבירה של מעשה מגונה בקטינה בת משפחה שטרם מלאו לה 16, עומד על מאסר בן שלוש שנים ו-9 חודשים. </w:t>
            </w:r>
          </w:p>
          <w:p w:rsidR="00D27E67" w:rsidRDefault="00D27E67" w:rsidP="00D27E67">
            <w:pPr>
              <w:pStyle w:val="a0"/>
              <w:numPr>
                <w:ilvl w:val="0"/>
                <w:numId w:val="0"/>
              </w:numPr>
              <w:tabs>
                <w:tab w:val="left" w:pos="720"/>
              </w:tabs>
              <w:ind w:left="720"/>
              <w:jc w:val="both"/>
            </w:pPr>
            <w:r>
              <w:rPr>
                <w:rFonts w:hint="cs"/>
                <w:rtl/>
              </w:rPr>
              <w:t xml:space="preserve">באשר לעבירות של ניסיון אינוס קטינה בת משפחה, יש לתת את הדעת לכך שמדובר בניסיון לבצע עבירה, אשר לא קבוע בגינו עונש מזערי, בניגוד לעבירות מין אשר הושלמו. בכל הנוגע לניסיון לבצע עבירה – קובע סעיף 27 לחוק העונשין כי "הוראה שבה נקבע לעבירה עונש חובה או שנקבע לה עונש מזערי, לא תחול על ניסיון לעבור אותה" (בעניין זה ראו דברי כב' השופט ח' כבוב בע"פ 1526/21 </w:t>
            </w:r>
            <w:r>
              <w:rPr>
                <w:rFonts w:hint="cs"/>
                <w:b/>
                <w:bCs/>
                <w:rtl/>
              </w:rPr>
              <w:t>פלוני נ' מדינת ישראל</w:t>
            </w:r>
            <w:r>
              <w:rPr>
                <w:rFonts w:hint="cs"/>
                <w:rtl/>
              </w:rPr>
              <w:t xml:space="preserve"> (11.8.22)). בהתאם לכך, בגין עבירת ניסיון לאינוס קטינה בת משפחה, אין תחולה לסעיף 355 לחוק העונשין הקובע עונש מזערי. </w:t>
            </w:r>
          </w:p>
          <w:p w:rsidR="00D27E67" w:rsidRDefault="00D27E67" w:rsidP="00D27E67">
            <w:pPr>
              <w:pStyle w:val="a0"/>
              <w:numPr>
                <w:ilvl w:val="0"/>
                <w:numId w:val="0"/>
              </w:numPr>
              <w:tabs>
                <w:tab w:val="left" w:pos="720"/>
              </w:tabs>
              <w:ind w:left="720"/>
              <w:jc w:val="both"/>
            </w:pPr>
            <w:r>
              <w:rPr>
                <w:rFonts w:hint="cs"/>
                <w:rtl/>
              </w:rPr>
              <w:t xml:space="preserve">בקביעת עונש המינימום, גילה המחוקק את דעתו, כי בהעדר טעמים מיוחדים, יש לראות את חומרת העבירה כמצדיקה הטלת עונש שלא יפחת מהעונש המזערי (כב' השופט נ' סולברג בע"פ 8500/22 </w:t>
            </w:r>
            <w:r>
              <w:rPr>
                <w:rFonts w:hint="cs"/>
                <w:b/>
                <w:bCs/>
                <w:rtl/>
              </w:rPr>
              <w:t>אביטבול נ' מדינת ישראל</w:t>
            </w:r>
            <w:r>
              <w:rPr>
                <w:rFonts w:hint="cs"/>
                <w:rtl/>
              </w:rPr>
              <w:t xml:space="preserve"> (10.7.2023); וכב' השופט א' שטיין בע"פ 3565/22 </w:t>
            </w:r>
            <w:r>
              <w:rPr>
                <w:rFonts w:hint="cs"/>
                <w:b/>
                <w:bCs/>
                <w:rtl/>
              </w:rPr>
              <w:t>פלוני נ' מדינת ישראל</w:t>
            </w:r>
            <w:r>
              <w:rPr>
                <w:rFonts w:hint="cs"/>
                <w:rtl/>
              </w:rPr>
              <w:t xml:space="preserve"> (9.8.2023)).</w:t>
            </w:r>
          </w:p>
          <w:p w:rsidR="00D27E67" w:rsidRDefault="00D27E67" w:rsidP="00D27E67">
            <w:pPr>
              <w:pStyle w:val="a0"/>
              <w:numPr>
                <w:ilvl w:val="0"/>
                <w:numId w:val="0"/>
              </w:numPr>
              <w:tabs>
                <w:tab w:val="left" w:pos="720"/>
              </w:tabs>
              <w:ind w:left="720"/>
              <w:jc w:val="both"/>
              <w:rPr>
                <w:rtl/>
              </w:rPr>
            </w:pPr>
            <w:r>
              <w:rPr>
                <w:rFonts w:hint="cs"/>
                <w:rtl/>
              </w:rPr>
              <w:t xml:space="preserve">לעונש המזערי ראוי גם שתהיה השפעה על מתחם העונש ההולם, כך שככלל הרף התחתון של מתחם העונש ההולם לא יהיה נמוך מהעונש המזערי, אלא אם קיימים טעמים מיוחדים שיצדיקו קביעת רף תחתון נמוך יותר (כב' השופט סולברג בע"פ 4876/15 </w:t>
            </w:r>
            <w:r>
              <w:rPr>
                <w:rFonts w:hint="cs"/>
                <w:b/>
                <w:bCs/>
                <w:rtl/>
              </w:rPr>
              <w:t>פלוני נ' מדינת ישראל</w:t>
            </w:r>
            <w:r>
              <w:rPr>
                <w:rFonts w:hint="cs"/>
                <w:rtl/>
              </w:rPr>
              <w:t xml:space="preserve"> (3.12.2015); כב' השופט אלרון בע"פ 5617/19 </w:t>
            </w:r>
            <w:r>
              <w:rPr>
                <w:rFonts w:hint="cs"/>
                <w:b/>
                <w:bCs/>
                <w:rtl/>
              </w:rPr>
              <w:t>מדינת ישראל נ' פלוני</w:t>
            </w:r>
            <w:r>
              <w:rPr>
                <w:rFonts w:hint="cs"/>
                <w:rtl/>
              </w:rPr>
              <w:t xml:space="preserve"> (26.8.2021)). זאת הגם שהעונש המזערי מתייחס הן לרכיב המאסר בפועל והן לרכיב המאסר על תנאי, ואילו הרף התחתון של מתחם העונש ההולם מתייחס, ככלל, לרכיב המאסר בפועל בלבד.</w:t>
            </w:r>
          </w:p>
          <w:p w:rsidR="00D27E67" w:rsidRPr="00D27E67" w:rsidRDefault="00D27E67" w:rsidP="00D27E67">
            <w:pPr>
              <w:pStyle w:val="a0"/>
              <w:jc w:val="both"/>
              <w:rPr>
                <w:rStyle w:val="default"/>
                <w:rFonts w:ascii="David" w:hAnsi="David" w:cs="David"/>
                <w:sz w:val="24"/>
                <w:szCs w:val="24"/>
              </w:rPr>
            </w:pPr>
            <w:r w:rsidRPr="00D27E67">
              <w:rPr>
                <w:rtl/>
              </w:rPr>
              <w:t xml:space="preserve">במסגרת </w:t>
            </w:r>
            <w:r w:rsidRPr="00D27E67">
              <w:rPr>
                <w:b/>
                <w:bCs/>
                <w:rtl/>
              </w:rPr>
              <w:t>הנסיבות הקשורות בביצוע העבירה</w:t>
            </w:r>
            <w:r w:rsidRPr="00D27E67">
              <w:rPr>
                <w:rtl/>
              </w:rPr>
              <w:t xml:space="preserve">, יש לתת את הדעת </w:t>
            </w:r>
            <w:r w:rsidRPr="00D27E67">
              <w:rPr>
                <w:rStyle w:val="default"/>
                <w:rFonts w:ascii="David" w:hAnsi="David" w:cs="David"/>
                <w:sz w:val="24"/>
                <w:szCs w:val="24"/>
                <w:rtl/>
              </w:rPr>
              <w:t xml:space="preserve">לכך שהנאשם, סבן של נפגעות העבירה, ניצל את גילן הצעיר, תמימותן, האמון שנתנו בו נכדותיו ויתר בני המשפחה, ואת זמינותן, ופגע בהן במרחב ביתן, בחדרן – המקום בו אמורות לחוש ביטחון. מעשיו של הנאשם כלפי א.א החלו כאשר היתה בת 9-8 עת ביקר עם סבתה של נפגעת העבירה בביתה, נכנס לחדרה וליטף את איבר מינה מעל לבגדיה. במועדים שונים בהמשך כאשר א.א התגוררה בביתו של הנאשם, נהג הנאשם ללטף את ישבנה ואת איבר מינה ובשלושה מועדים שונים ליטף את איבר מינה מתחת לבגדיה, כאשר זו ביקשה מהנאשם לחדול ממעשיו. בשתי הזדמנויות כאשר א.א היתה בין הגילאים 13-10 ניסה הנאשם לאנוס אותה בכך שניסה להחדיר את אצבעותיו לאיבר מינה וגרם לה לכאב. במקרה האחרון לאחר שניסה הנאשם להחדיר את אצבעותיו לאיבר מינה, א.א דיממה מאיבר מינה. </w:t>
            </w:r>
          </w:p>
          <w:p w:rsidR="00D27E67" w:rsidRPr="00D27E67" w:rsidRDefault="00D27E67" w:rsidP="00D27E67">
            <w:pPr>
              <w:pStyle w:val="a0"/>
              <w:numPr>
                <w:ilvl w:val="0"/>
                <w:numId w:val="0"/>
              </w:numPr>
              <w:tabs>
                <w:tab w:val="left" w:pos="720"/>
              </w:tabs>
              <w:ind w:left="720"/>
              <w:jc w:val="both"/>
              <w:rPr>
                <w:rStyle w:val="default"/>
                <w:rFonts w:ascii="David" w:hAnsi="David" w:cs="David"/>
                <w:sz w:val="24"/>
                <w:szCs w:val="24"/>
              </w:rPr>
            </w:pPr>
            <w:r w:rsidRPr="00D27E67">
              <w:rPr>
                <w:rStyle w:val="default"/>
                <w:rFonts w:ascii="David" w:hAnsi="David" w:cs="David"/>
                <w:sz w:val="24"/>
                <w:szCs w:val="24"/>
                <w:rtl/>
              </w:rPr>
              <w:t>כאשר נכדתו ב.ב היתה בת 7-6 ושהתה ביחד עם בני משפחה נוספים בבית הנאשם, קרא לה הנאשם להיכנס לחדר בו שהה, הורה לה לשבת על ברכיו כאשר גבה מופנה אליו, הוא נגע באיבר מינה מתחת לבגדיה, וחיכך את אצבעותיו באיבר מינה.</w:t>
            </w:r>
          </w:p>
          <w:p w:rsidR="00D27E67" w:rsidRPr="00D27E67" w:rsidRDefault="00D27E67" w:rsidP="00D27E67">
            <w:pPr>
              <w:pStyle w:val="a0"/>
              <w:numPr>
                <w:ilvl w:val="0"/>
                <w:numId w:val="0"/>
              </w:numPr>
              <w:tabs>
                <w:tab w:val="left" w:pos="720"/>
              </w:tabs>
              <w:ind w:left="720"/>
              <w:jc w:val="both"/>
              <w:rPr>
                <w:rStyle w:val="default"/>
                <w:rFonts w:ascii="David" w:hAnsi="David" w:cs="David"/>
                <w:sz w:val="24"/>
                <w:szCs w:val="24"/>
              </w:rPr>
            </w:pPr>
            <w:r w:rsidRPr="00D27E67">
              <w:rPr>
                <w:rStyle w:val="default"/>
                <w:rFonts w:ascii="David" w:hAnsi="David" w:cs="David"/>
                <w:sz w:val="24"/>
                <w:szCs w:val="24"/>
                <w:rtl/>
              </w:rPr>
              <w:t xml:space="preserve">מעשיו של הנאשם בוצעו לאחר תכנון, כאשר הנאשם יצר מצבים בהם היה בגפו עם נכדותיו ללא אדם בוגר בסביבה לשם ביצוע מעשיו. </w:t>
            </w:r>
          </w:p>
          <w:p w:rsidR="00D27E67" w:rsidRPr="00D27E67" w:rsidRDefault="00D27E67" w:rsidP="00D27E67">
            <w:pPr>
              <w:pStyle w:val="a0"/>
              <w:numPr>
                <w:ilvl w:val="0"/>
                <w:numId w:val="0"/>
              </w:numPr>
              <w:tabs>
                <w:tab w:val="left" w:pos="720"/>
              </w:tabs>
              <w:ind w:left="720"/>
              <w:jc w:val="both"/>
              <w:rPr>
                <w:rStyle w:val="default"/>
                <w:rFonts w:ascii="David" w:hAnsi="David" w:cs="David"/>
                <w:sz w:val="24"/>
                <w:szCs w:val="24"/>
                <w:rtl/>
              </w:rPr>
            </w:pPr>
            <w:r w:rsidRPr="00D27E67">
              <w:rPr>
                <w:rStyle w:val="default"/>
                <w:rFonts w:ascii="David" w:hAnsi="David" w:cs="David"/>
                <w:sz w:val="24"/>
                <w:szCs w:val="24"/>
                <w:rtl/>
              </w:rPr>
              <w:t xml:space="preserve">הסיבות שהביאו את הנאשם לבצע את העבירות קשורות בניצול הקטינות וזמינותן לשם סיפוק מאווייו המיניים ללא התייחסות להשלכות מעשיו על חייהן.  </w:t>
            </w:r>
          </w:p>
          <w:p w:rsidR="00D27E67" w:rsidRPr="00D27E67" w:rsidRDefault="00D27E67" w:rsidP="00D27E67">
            <w:pPr>
              <w:pStyle w:val="a0"/>
              <w:numPr>
                <w:ilvl w:val="0"/>
                <w:numId w:val="0"/>
              </w:numPr>
              <w:tabs>
                <w:tab w:val="left" w:pos="720"/>
              </w:tabs>
              <w:ind w:left="720"/>
              <w:jc w:val="both"/>
            </w:pPr>
            <w:r w:rsidRPr="00D27E67">
              <w:rPr>
                <w:rStyle w:val="default"/>
                <w:rFonts w:ascii="David" w:hAnsi="David" w:cs="David"/>
                <w:sz w:val="24"/>
                <w:szCs w:val="24"/>
                <w:rtl/>
              </w:rPr>
              <w:lastRenderedPageBreak/>
              <w:t xml:space="preserve">בבחינת </w:t>
            </w:r>
            <w:r w:rsidRPr="00D27E67">
              <w:rPr>
                <w:rStyle w:val="default"/>
                <w:rFonts w:ascii="David" w:hAnsi="David" w:cs="David"/>
                <w:b/>
                <w:bCs/>
                <w:sz w:val="24"/>
                <w:szCs w:val="24"/>
                <w:rtl/>
              </w:rPr>
              <w:t>הנזק שנגרם לנפגעות העבירה</w:t>
            </w:r>
            <w:r w:rsidRPr="00D27E67">
              <w:rPr>
                <w:rStyle w:val="default"/>
                <w:rFonts w:ascii="David" w:hAnsi="David" w:cs="David"/>
                <w:sz w:val="24"/>
                <w:szCs w:val="24"/>
                <w:rtl/>
              </w:rPr>
              <w:t xml:space="preserve"> יש לתת את הדעת לתסקיר נפגע העבירה בעניינה של א.א, אשר מלמד </w:t>
            </w:r>
            <w:r w:rsidRPr="00D27E67">
              <w:rPr>
                <w:rtl/>
              </w:rPr>
              <w:t xml:space="preserve">על תמונת נזק משמעותית, </w:t>
            </w:r>
            <w:r>
              <w:rPr>
                <w:rFonts w:hint="cs"/>
                <w:rtl/>
              </w:rPr>
              <w:t>[</w:t>
            </w:r>
            <w:r w:rsidRPr="00D27E67">
              <w:rPr>
                <w:rFonts w:hint="cs"/>
                <w:b/>
                <w:bCs/>
                <w:rtl/>
              </w:rPr>
              <w:t>הושמט</w:t>
            </w:r>
            <w:r>
              <w:rPr>
                <w:rFonts w:hint="cs"/>
                <w:rtl/>
              </w:rPr>
              <w:t xml:space="preserve">]. </w:t>
            </w:r>
            <w:r w:rsidRPr="00D27E67">
              <w:rPr>
                <w:rtl/>
              </w:rPr>
              <w:t xml:space="preserve">  </w:t>
            </w:r>
          </w:p>
          <w:p w:rsidR="00D27E67" w:rsidRPr="00D27E67" w:rsidRDefault="00D27E67" w:rsidP="00D27E67">
            <w:pPr>
              <w:pStyle w:val="a0"/>
              <w:numPr>
                <w:ilvl w:val="0"/>
                <w:numId w:val="0"/>
              </w:numPr>
              <w:tabs>
                <w:tab w:val="left" w:pos="720"/>
              </w:tabs>
              <w:ind w:left="720"/>
              <w:jc w:val="both"/>
              <w:rPr>
                <w:rStyle w:val="default"/>
                <w:rFonts w:ascii="David" w:hAnsi="David" w:cs="David"/>
                <w:sz w:val="24"/>
                <w:szCs w:val="24"/>
              </w:rPr>
            </w:pPr>
            <w:r>
              <w:rPr>
                <w:rFonts w:hint="cs"/>
                <w:rtl/>
              </w:rPr>
              <w:t>באשר לנפגעת העבירה ב.ב, התקיימו בינה לבין עורכת התסקיר מספר פגישות במהלכן הביעה אמביוולנטיות בנוגע להגשת התסקיר, ובסופו של יום החליטה שאינו מעוניינת בכך בשל הקושי לחזור ולעסוק בפגיעה שחוותה. זאת על אף שחשוב לה להעביר את בקשתה שיוטל על הנאשם עונש חמור.</w:t>
            </w:r>
            <w:r>
              <w:rPr>
                <w:rStyle w:val="default"/>
                <w:rFonts w:hint="cs"/>
                <w:rtl/>
              </w:rPr>
              <w:t xml:space="preserve"> </w:t>
            </w:r>
            <w:r w:rsidRPr="00D27E67">
              <w:rPr>
                <w:rStyle w:val="default"/>
                <w:rFonts w:ascii="David" w:hAnsi="David" w:cs="David"/>
                <w:sz w:val="24"/>
                <w:szCs w:val="24"/>
                <w:rtl/>
              </w:rPr>
              <w:t xml:space="preserve">גם בהעדר תסקיר נפגעת עבירה בעניינה של ב.ב מובן כי נגרם לה נזק משמעותי, אשר נובע מעצם המעשה שביצע בה הנאשם, הגם שמדובר במעשה אחד. </w:t>
            </w:r>
          </w:p>
          <w:p w:rsidR="00D27E67" w:rsidRPr="00D27E67" w:rsidRDefault="00D27E67" w:rsidP="00D27E67">
            <w:pPr>
              <w:pStyle w:val="a0"/>
              <w:jc w:val="both"/>
              <w:rPr>
                <w:rtl/>
              </w:rPr>
            </w:pPr>
            <w:r w:rsidRPr="00D27E67">
              <w:rPr>
                <w:rtl/>
              </w:rPr>
              <w:t xml:space="preserve">בחינת </w:t>
            </w:r>
            <w:r w:rsidRPr="00D27E67">
              <w:rPr>
                <w:b/>
                <w:bCs/>
                <w:rtl/>
              </w:rPr>
              <w:t>מדיניות הענישה הנוהגת</w:t>
            </w:r>
            <w:r w:rsidRPr="00D27E67">
              <w:rPr>
                <w:rtl/>
              </w:rPr>
              <w:t xml:space="preserve"> מעלה כי במקרים דומים הוטלו על נאשמים עונשי מאסר במנעד רחב כמפורט להלן:</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tl/>
              </w:rPr>
            </w:pPr>
            <w:r w:rsidRPr="00D27E67">
              <w:rPr>
                <w:rStyle w:val="default"/>
                <w:rFonts w:ascii="David" w:hAnsi="David" w:cs="David"/>
                <w:sz w:val="24"/>
                <w:szCs w:val="24"/>
                <w:rtl/>
              </w:rPr>
              <w:t xml:space="preserve">בע"פ 5832/20 </w:t>
            </w:r>
            <w:r w:rsidRPr="00D27E67">
              <w:rPr>
                <w:rStyle w:val="default"/>
                <w:rFonts w:ascii="David" w:hAnsi="David" w:cs="David"/>
                <w:b/>
                <w:bCs/>
                <w:sz w:val="24"/>
                <w:szCs w:val="24"/>
                <w:rtl/>
              </w:rPr>
              <w:t>פלוני נ' מדינת ישראל</w:t>
            </w:r>
            <w:r w:rsidRPr="00D27E67">
              <w:rPr>
                <w:rStyle w:val="default"/>
                <w:rFonts w:ascii="David" w:hAnsi="David" w:cs="David"/>
                <w:sz w:val="24"/>
                <w:szCs w:val="24"/>
                <w:rtl/>
              </w:rPr>
              <w:t xml:space="preserve"> (22.8.2021), דחה בית המשפט העליון ערעור נאשם אשר הורשע לאחר ניהול הוכחות בריבוי עבירות מין, לרבות עבירה אחת של אינוס בקטינה בת משפחה, אחות אשתו, בעת שהייתה בת 15.5-14.5 בביתה. המעשים כללו נגיעות בחזה ובאיבר המין מתחת לבגדים, ומקרה אחד של החדרת אצבע לאיבר המין. בית המשפט המחוזי קבע </w:t>
            </w:r>
            <w:r w:rsidRPr="00D27E67">
              <w:rPr>
                <w:rStyle w:val="default"/>
                <w:rFonts w:ascii="David" w:hAnsi="David" w:cs="David"/>
                <w:b/>
                <w:bCs/>
                <w:sz w:val="24"/>
                <w:szCs w:val="24"/>
                <w:rtl/>
              </w:rPr>
              <w:t>מתחם שנע בין 6 ל-10 שנות מאסר</w:t>
            </w:r>
            <w:r w:rsidRPr="00D27E67">
              <w:rPr>
                <w:rStyle w:val="default"/>
                <w:rFonts w:ascii="David" w:hAnsi="David" w:cs="David"/>
                <w:sz w:val="24"/>
                <w:szCs w:val="24"/>
                <w:rtl/>
              </w:rPr>
              <w:t xml:space="preserve">, וגזר על הנאשם עונש של </w:t>
            </w:r>
            <w:r w:rsidRPr="00D27E67">
              <w:rPr>
                <w:rStyle w:val="default"/>
                <w:rFonts w:ascii="David" w:hAnsi="David" w:cs="David"/>
                <w:b/>
                <w:bCs/>
                <w:sz w:val="24"/>
                <w:szCs w:val="24"/>
                <w:rtl/>
              </w:rPr>
              <w:t>8 שנות מאסר בפועל</w:t>
            </w:r>
            <w:r w:rsidRPr="00D27E67">
              <w:rPr>
                <w:rStyle w:val="default"/>
                <w:rFonts w:ascii="David" w:hAnsi="David" w:cs="David"/>
                <w:sz w:val="24"/>
                <w:szCs w:val="24"/>
                <w:rtl/>
              </w:rPr>
              <w:t xml:space="preserve">. </w:t>
            </w:r>
          </w:p>
          <w:p w:rsidR="00D27E67" w:rsidRPr="00D27E67" w:rsidRDefault="00D27E67" w:rsidP="00D27E67">
            <w:pPr>
              <w:pStyle w:val="a"/>
              <w:numPr>
                <w:ilvl w:val="0"/>
                <w:numId w:val="0"/>
              </w:numPr>
              <w:tabs>
                <w:tab w:val="left" w:pos="720"/>
              </w:tabs>
              <w:ind w:left="1286" w:right="0"/>
              <w:jc w:val="both"/>
              <w:rPr>
                <w:rStyle w:val="default"/>
                <w:rFonts w:ascii="David" w:hAnsi="David" w:cs="David"/>
                <w:sz w:val="24"/>
                <w:szCs w:val="24"/>
              </w:rPr>
            </w:pPr>
            <w:r w:rsidRPr="00D27E67">
              <w:rPr>
                <w:rStyle w:val="default"/>
                <w:rFonts w:ascii="David" w:hAnsi="David" w:cs="David"/>
                <w:sz w:val="24"/>
                <w:szCs w:val="24"/>
                <w:rtl/>
              </w:rPr>
              <w:t xml:space="preserve">במקרה האמור דובר בעבירת אינוס אחת, במובחן מהמקרה הנוכחי שבו עסקינן בשתי עבירות של ניסיון אינוס (ולא באינוס). כל זאת לצד ריבוי עבירות של מעשים מגונים בשני המקרים.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בע"פ 2647/21 </w:t>
            </w:r>
            <w:r w:rsidRPr="00D27E67">
              <w:rPr>
                <w:rStyle w:val="default"/>
                <w:rFonts w:ascii="David" w:hAnsi="David" w:cs="David"/>
                <w:b/>
                <w:bCs/>
                <w:sz w:val="24"/>
                <w:szCs w:val="24"/>
                <w:rtl/>
              </w:rPr>
              <w:t>פלוני נ' מדינת ישראל</w:t>
            </w:r>
            <w:r w:rsidRPr="00D27E67">
              <w:rPr>
                <w:rStyle w:val="default"/>
                <w:rFonts w:ascii="David" w:hAnsi="David" w:cs="David"/>
                <w:sz w:val="24"/>
                <w:szCs w:val="24"/>
                <w:rtl/>
              </w:rPr>
              <w:t xml:space="preserve"> (21.8.22), דחה בית המשפט העליון ערעור נאשם אשר הורשע לאחר ניהול הוכחות בריבוי עבירות מעשה מגונה בקטינה בת משפחה. הנאשם, דודהּ של קטינה (בת 14-12) נגע ומצץ את איבר מינה, נישק אותה בפיה, ליקק את חזה, ליטף את גופה מתחת לבגדיה וכן הצמיד את איבר מינו לאיבר מינה. בית המשפט המחוזי קבע </w:t>
            </w:r>
            <w:r w:rsidRPr="00D27E67">
              <w:rPr>
                <w:rStyle w:val="default"/>
                <w:rFonts w:ascii="David" w:hAnsi="David" w:cs="David"/>
                <w:b/>
                <w:bCs/>
                <w:sz w:val="24"/>
                <w:szCs w:val="24"/>
                <w:rtl/>
              </w:rPr>
              <w:t>מתחם עונש הנע בין 6 ועד ל-9 שנות מאסר בפועל</w:t>
            </w:r>
            <w:r w:rsidRPr="00D27E67">
              <w:rPr>
                <w:rStyle w:val="default"/>
                <w:rFonts w:ascii="David" w:hAnsi="David" w:cs="David"/>
                <w:sz w:val="24"/>
                <w:szCs w:val="24"/>
                <w:rtl/>
              </w:rPr>
              <w:t>. הנאשם ללא עבר פלילי נדון לעונש של</w:t>
            </w:r>
            <w:r w:rsidRPr="00D27E67">
              <w:rPr>
                <w:rStyle w:val="default"/>
                <w:rFonts w:ascii="David" w:hAnsi="David" w:cs="David"/>
                <w:b/>
                <w:bCs/>
                <w:sz w:val="24"/>
                <w:szCs w:val="24"/>
                <w:rtl/>
              </w:rPr>
              <w:t xml:space="preserve"> 7.5 שנות מאסר בפועל</w:t>
            </w:r>
            <w:r w:rsidRPr="00D27E67">
              <w:rPr>
                <w:rStyle w:val="default"/>
                <w:rFonts w:ascii="David" w:hAnsi="David" w:cs="David"/>
                <w:sz w:val="24"/>
                <w:szCs w:val="24"/>
                <w:rtl/>
              </w:rPr>
              <w:t xml:space="preserve">. בית המשפט העליון הפנה לחומרת העבירה ולפסיקה הנוהגת, ואישר את מתחם העונש ואת העונש שהוטל על הנאשם.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בע"פ 5385/13 </w:t>
            </w:r>
            <w:r w:rsidRPr="00D27E67">
              <w:rPr>
                <w:rStyle w:val="default"/>
                <w:rFonts w:ascii="David" w:hAnsi="David" w:cs="David"/>
                <w:b/>
                <w:bCs/>
                <w:sz w:val="24"/>
                <w:szCs w:val="24"/>
                <w:rtl/>
              </w:rPr>
              <w:t>פלוני נ' מדינת ישראל</w:t>
            </w:r>
            <w:r w:rsidRPr="00D27E67">
              <w:rPr>
                <w:rStyle w:val="default"/>
                <w:rFonts w:ascii="David" w:hAnsi="David" w:cs="David"/>
                <w:sz w:val="24"/>
                <w:szCs w:val="24"/>
                <w:rtl/>
              </w:rPr>
              <w:t xml:space="preserve"> (4.12.2013) נדחה ערעורו של נאשם אשר הורשע, לאחר ניהול הוכחות, בריבוי עבירות של מעשה מגונה במשפחה בנכדתו, וכן בעבירה של מעשה מגונה בשכנתו הקטינה. במספר רב של הזדמנויות הגיע הנאשם למיטת נכדתו, נהג לשכב מעליה ללא בגדים, להפשיט את בגדיה, ולחכך את איבר מינו בין רגליה, חרף התנגדותה. בשני מקרים ביצע מעשה מגונה בשכנתו הקטינה, בכך שניסה לנשקה בלחייה. בנוגע למעשים בנכדתו נקבע מתחם שבין</w:t>
            </w:r>
            <w:r w:rsidRPr="00D27E67">
              <w:rPr>
                <w:rStyle w:val="default"/>
                <w:rFonts w:ascii="David" w:hAnsi="David" w:cs="David"/>
                <w:b/>
                <w:bCs/>
                <w:sz w:val="24"/>
                <w:szCs w:val="24"/>
                <w:rtl/>
              </w:rPr>
              <w:t xml:space="preserve"> 5 ל-9 שנות מאסר</w:t>
            </w:r>
            <w:r w:rsidRPr="00D27E67">
              <w:rPr>
                <w:rStyle w:val="default"/>
                <w:rFonts w:ascii="David" w:hAnsi="David" w:cs="David"/>
                <w:sz w:val="24"/>
                <w:szCs w:val="24"/>
                <w:rtl/>
              </w:rPr>
              <w:t xml:space="preserve">, ובנוגע למעשים בשכנה נקבע מתחם שבין 6 ל-14 חודשי מאסר. בית המשפט המחוזי התחשב בגילו המבוגר, במצבו הרפואי ובעברו הנקי וגזר עליו עונש של </w:t>
            </w:r>
            <w:r w:rsidRPr="00D27E67">
              <w:rPr>
                <w:rStyle w:val="default"/>
                <w:rFonts w:ascii="David" w:hAnsi="David" w:cs="David"/>
                <w:b/>
                <w:bCs/>
                <w:sz w:val="24"/>
                <w:szCs w:val="24"/>
                <w:rtl/>
              </w:rPr>
              <w:t>80 חודשי מאסר בפועל (6 שנים ו-8 חודשים)</w:t>
            </w:r>
            <w:r w:rsidRPr="00D27E67">
              <w:rPr>
                <w:rStyle w:val="default"/>
                <w:rFonts w:ascii="David" w:hAnsi="David" w:cs="David"/>
                <w:sz w:val="24"/>
                <w:szCs w:val="24"/>
                <w:rtl/>
              </w:rPr>
              <w:t>.</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בע"פ 798/19 </w:t>
            </w:r>
            <w:r w:rsidRPr="00D27E67">
              <w:rPr>
                <w:rStyle w:val="default"/>
                <w:rFonts w:ascii="David" w:hAnsi="David" w:cs="David"/>
                <w:b/>
                <w:bCs/>
                <w:sz w:val="24"/>
                <w:szCs w:val="24"/>
                <w:rtl/>
              </w:rPr>
              <w:t>פלוני נ' מדינת ישראל</w:t>
            </w:r>
            <w:r w:rsidRPr="00D27E67">
              <w:rPr>
                <w:rStyle w:val="default"/>
                <w:rFonts w:ascii="David" w:hAnsi="David" w:cs="David"/>
                <w:sz w:val="24"/>
                <w:szCs w:val="24"/>
                <w:rtl/>
              </w:rPr>
              <w:t xml:space="preserve"> (24.6.2019) נדחה ערעורו של נאשם אשר הורשע, על פי הודאתו, בעבירות של ניסיון אינוס בקטינה בת משפחה, מעשה מגונה בקטינה בת משפחה (ריבוי עבירות) וגרם מעשה מגונה בקטינה בת משפחה, כלפי בתה של אשתו, בעת שהייתה כבת 14. במשך כ-16 חודשים ביצע בה מעשים אשר כללו, נגיעה בחזה, נגיעה בפי הטבעת, הנחת ידה על איבר מינו, הנאשם אונן בנוכחותה, נגע באיבר </w:t>
            </w:r>
            <w:r w:rsidRPr="00D27E67">
              <w:rPr>
                <w:rStyle w:val="default"/>
                <w:rFonts w:ascii="David" w:hAnsi="David" w:cs="David"/>
                <w:sz w:val="24"/>
                <w:szCs w:val="24"/>
                <w:rtl/>
              </w:rPr>
              <w:lastRenderedPageBreak/>
              <w:t xml:space="preserve">מינה, וניסה להחדיר את אצבעותיו לאיבר מינה, וכן הושיב אותה כאשר איבר מינו נוגע באיבר מינה. על הנאשם הוטל עונש של </w:t>
            </w:r>
            <w:r w:rsidRPr="00D27E67">
              <w:rPr>
                <w:rStyle w:val="default"/>
                <w:rFonts w:ascii="David" w:hAnsi="David" w:cs="David"/>
                <w:b/>
                <w:bCs/>
                <w:sz w:val="24"/>
                <w:szCs w:val="24"/>
                <w:rtl/>
              </w:rPr>
              <w:t>6.5 שנות מאסר בפועל</w:t>
            </w:r>
            <w:r w:rsidRPr="00D27E67">
              <w:rPr>
                <w:rStyle w:val="default"/>
                <w:rFonts w:ascii="David" w:hAnsi="David" w:cs="David"/>
                <w:sz w:val="24"/>
                <w:szCs w:val="24"/>
                <w:rtl/>
              </w:rPr>
              <w:t xml:space="preserve">.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בע"פ 1859/20 </w:t>
            </w:r>
            <w:r w:rsidRPr="00D27E67">
              <w:rPr>
                <w:rStyle w:val="default"/>
                <w:rFonts w:ascii="David" w:hAnsi="David" w:cs="David"/>
                <w:b/>
                <w:bCs/>
                <w:sz w:val="24"/>
                <w:szCs w:val="24"/>
                <w:rtl/>
              </w:rPr>
              <w:t>פלוני נ' מדינת ישראל</w:t>
            </w:r>
            <w:r w:rsidRPr="00D27E67">
              <w:rPr>
                <w:rStyle w:val="default"/>
                <w:rFonts w:ascii="David" w:hAnsi="David" w:cs="David"/>
                <w:sz w:val="24"/>
                <w:szCs w:val="24"/>
                <w:rtl/>
              </w:rPr>
              <w:t xml:space="preserve"> (23.12.2020) נדחה ערעורו של נאשם אשר הורשע על פי הודאתו בביצוע עבירות של מעשים מגונים בשתי נכדותיו ובקטינה נוספת. בהזדמנויות רבות, בעת שאחת מנכדותיו הייתה כבת 15-11, ליטף אותה הנאשם בכל חלקי גופה, לרבות בחזה, ובאיבר המין מתחת לבגדים. במקרה אחד הוריד את תחתוניה של הנכדה, כאשר איבר מינו חשוף, נצמד אליה וחיכך את איבר מינו סמוך לפי הטבעת שלה. בגין מעשים אלה נקבע </w:t>
            </w:r>
            <w:r w:rsidRPr="00D27E67">
              <w:rPr>
                <w:rStyle w:val="default"/>
                <w:rFonts w:ascii="David" w:hAnsi="David" w:cs="David"/>
                <w:b/>
                <w:bCs/>
                <w:sz w:val="24"/>
                <w:szCs w:val="24"/>
                <w:rtl/>
              </w:rPr>
              <w:t>מתחם שבין 30 ל-60 חודשי מאסר</w:t>
            </w:r>
            <w:r w:rsidRPr="00D27E67">
              <w:rPr>
                <w:rStyle w:val="default"/>
                <w:rFonts w:ascii="David" w:hAnsi="David" w:cs="David"/>
                <w:sz w:val="24"/>
                <w:szCs w:val="24"/>
                <w:rtl/>
              </w:rPr>
              <w:t>. בנוגע לנכדה שניה, שהייתה כבת 9-8 פשט את בגדיו ואת בגדיה, ונשכב מעליה כשאיבר מינו נגע בגופה. בעניין זה נקבע מתחם שנע בין 15 ל-30 חודשי מאסר. בנוגע לקטינה שעבדה אצל המערער, עת הייתה בת 14-12, במספר רב של הזדמנויות נגע בישבנה, ובאחד המקרים חיבק אותה, הכניס את ידו מתחת למכנסיה ונגע בישבנה. שם נקבע מתחם שבין 12 ל-30 חודשי מאסר. הנאשם נדון</w:t>
            </w:r>
            <w:r w:rsidRPr="00D27E67">
              <w:rPr>
                <w:rStyle w:val="default"/>
                <w:rFonts w:ascii="David" w:hAnsi="David" w:cs="David"/>
                <w:b/>
                <w:bCs/>
                <w:sz w:val="24"/>
                <w:szCs w:val="24"/>
                <w:rtl/>
              </w:rPr>
              <w:t xml:space="preserve"> ל-6 שנות מאסר בפועל</w:t>
            </w:r>
            <w:r w:rsidRPr="00D27E67">
              <w:rPr>
                <w:rStyle w:val="default"/>
                <w:rFonts w:ascii="David" w:hAnsi="David" w:cs="David"/>
                <w:sz w:val="24"/>
                <w:szCs w:val="24"/>
                <w:rtl/>
              </w:rPr>
              <w:t xml:space="preserve">. </w:t>
            </w:r>
          </w:p>
          <w:p w:rsidR="00D27E67" w:rsidRPr="00D27E67" w:rsidRDefault="00D27E67" w:rsidP="00D27E67">
            <w:pPr>
              <w:pStyle w:val="a"/>
              <w:numPr>
                <w:ilvl w:val="0"/>
                <w:numId w:val="0"/>
              </w:numPr>
              <w:tabs>
                <w:tab w:val="left" w:pos="720"/>
              </w:tabs>
              <w:ind w:left="1286" w:right="0"/>
              <w:jc w:val="both"/>
              <w:rPr>
                <w:rStyle w:val="default"/>
                <w:rFonts w:ascii="David" w:hAnsi="David" w:cs="David"/>
                <w:sz w:val="24"/>
                <w:szCs w:val="24"/>
              </w:rPr>
            </w:pPr>
            <w:r w:rsidRPr="00D27E67">
              <w:rPr>
                <w:rStyle w:val="default"/>
                <w:rFonts w:ascii="David" w:hAnsi="David" w:cs="David"/>
                <w:sz w:val="24"/>
                <w:szCs w:val="24"/>
                <w:rtl/>
              </w:rPr>
              <w:t xml:space="preserve">במקרה האמור דובר על שלוש נפגעות עבירה, אך על עבירות של מעשים מגונים, במובחן מעבירת ניסיון האינוס במקרה הנוכחי. </w:t>
            </w:r>
          </w:p>
          <w:p w:rsidR="00D27E67" w:rsidRPr="00D27E67" w:rsidRDefault="00D27E67" w:rsidP="00D27E67">
            <w:pPr>
              <w:pStyle w:val="a"/>
              <w:numPr>
                <w:ilvl w:val="1"/>
                <w:numId w:val="2"/>
              </w:numPr>
              <w:tabs>
                <w:tab w:val="num" w:pos="1286"/>
              </w:tabs>
              <w:ind w:left="1286" w:right="0" w:hanging="540"/>
              <w:jc w:val="both"/>
              <w:rPr>
                <w:rFonts w:ascii="David" w:hAnsi="David"/>
              </w:rPr>
            </w:pPr>
            <w:r w:rsidRPr="00D27E67">
              <w:rPr>
                <w:rFonts w:ascii="David" w:hAnsi="David"/>
                <w:rtl/>
              </w:rPr>
              <w:t xml:space="preserve">בע"פ 3571/13 </w:t>
            </w:r>
            <w:r w:rsidRPr="00D27E67">
              <w:rPr>
                <w:rFonts w:ascii="David" w:hAnsi="David"/>
                <w:b/>
                <w:bCs/>
                <w:rtl/>
              </w:rPr>
              <w:t>פלוני נ' מדינת ישראל</w:t>
            </w:r>
            <w:r w:rsidRPr="00D27E67">
              <w:rPr>
                <w:rFonts w:ascii="David" w:hAnsi="David"/>
                <w:rtl/>
              </w:rPr>
              <w:t xml:space="preserve"> (21.7.2014) הורשע נאשם על יסוד הודאתו בעבירות של ניסיון אינוס קטינה בת משפחה. הנאשם, אביה של הקטינה, בת כ-9, במקרה אחד, הפשיט אותה, התפשט בעצמו, וניסה להחדיר את איבר מינו לאיבר מינה, שלא בהסכמתה, ותוך שהוא גורם לה כאב. בית המשפט המחוזי קבע </w:t>
            </w:r>
            <w:r w:rsidRPr="00D27E67">
              <w:rPr>
                <w:rFonts w:ascii="David" w:hAnsi="David"/>
                <w:b/>
                <w:bCs/>
                <w:rtl/>
              </w:rPr>
              <w:t>מתחם שבין 4 ל-9 שנים</w:t>
            </w:r>
            <w:r w:rsidRPr="00D27E67">
              <w:rPr>
                <w:rFonts w:ascii="David" w:hAnsi="David"/>
                <w:rtl/>
              </w:rPr>
              <w:t>, וגזר על הנאשם עונש של</w:t>
            </w:r>
            <w:r w:rsidRPr="00D27E67">
              <w:rPr>
                <w:rFonts w:ascii="David" w:hAnsi="David"/>
                <w:b/>
                <w:bCs/>
                <w:rtl/>
              </w:rPr>
              <w:t xml:space="preserve"> 5 שנות מאסר בפועל</w:t>
            </w:r>
            <w:r w:rsidRPr="00D27E67">
              <w:rPr>
                <w:rFonts w:ascii="David" w:hAnsi="David"/>
                <w:rtl/>
              </w:rPr>
              <w:t xml:space="preserve">.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בתפ"ח (מחוזי נצ') 43440-10-22 </w:t>
            </w:r>
            <w:r w:rsidRPr="00D27E67">
              <w:rPr>
                <w:rStyle w:val="default"/>
                <w:rFonts w:ascii="David" w:hAnsi="David" w:cs="David"/>
                <w:b/>
                <w:bCs/>
                <w:sz w:val="24"/>
                <w:szCs w:val="24"/>
                <w:rtl/>
              </w:rPr>
              <w:t>מדינת ישראל נ' פלוני</w:t>
            </w:r>
            <w:r w:rsidRPr="00D27E67">
              <w:rPr>
                <w:rStyle w:val="default"/>
                <w:rFonts w:ascii="David" w:hAnsi="David" w:cs="David"/>
                <w:sz w:val="24"/>
                <w:szCs w:val="24"/>
                <w:rtl/>
              </w:rPr>
              <w:t xml:space="preserve"> (18.12.23), הורשע נאשם על פי הודאתו בעבירות של מעשים מגונים בקטינה בת משפחה. הנאשם סבה של הקטינה, במספר רב של הזדמנויות מאז היתה כבת 11, נהג ללקק את איבר מינה. כאשר מלאו לקטינה 15 ביקשה מסבה שיחדול ממעשיו. בית המשפט קבע </w:t>
            </w:r>
            <w:r w:rsidRPr="00D27E67">
              <w:rPr>
                <w:rStyle w:val="default"/>
                <w:rFonts w:ascii="David" w:hAnsi="David" w:cs="David"/>
                <w:b/>
                <w:bCs/>
                <w:sz w:val="24"/>
                <w:szCs w:val="24"/>
                <w:rtl/>
              </w:rPr>
              <w:t>מתחם עונש הנע בין 7 ועד ל-12 שנות מאסר בפועל</w:t>
            </w:r>
            <w:r w:rsidRPr="00D27E67">
              <w:rPr>
                <w:rStyle w:val="default"/>
                <w:rFonts w:ascii="David" w:hAnsi="David" w:cs="David"/>
                <w:sz w:val="24"/>
                <w:szCs w:val="24"/>
                <w:rtl/>
              </w:rPr>
              <w:t xml:space="preserve">. הנאשם בן 76, הסובל מבעיות רפואיות שונות, ללא עבר פלילי, נדון לעונש של </w:t>
            </w:r>
            <w:r w:rsidRPr="00D27E67">
              <w:rPr>
                <w:rStyle w:val="default"/>
                <w:rFonts w:ascii="David" w:hAnsi="David" w:cs="David"/>
                <w:b/>
                <w:bCs/>
                <w:sz w:val="24"/>
                <w:szCs w:val="24"/>
                <w:rtl/>
              </w:rPr>
              <w:t xml:space="preserve">8.5 שנות מאסר בפועל </w:t>
            </w:r>
            <w:r w:rsidRPr="00D27E67">
              <w:rPr>
                <w:rStyle w:val="default"/>
                <w:rFonts w:ascii="David" w:hAnsi="David" w:cs="David"/>
                <w:sz w:val="24"/>
                <w:szCs w:val="24"/>
                <w:rtl/>
              </w:rPr>
              <w:t xml:space="preserve">לצד ענישה נלווית.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בתפ"ח (מחוזי חי') 40337-06-22 </w:t>
            </w:r>
            <w:r w:rsidRPr="00D27E67">
              <w:rPr>
                <w:rStyle w:val="default"/>
                <w:rFonts w:ascii="David" w:hAnsi="David" w:cs="David"/>
                <w:b/>
                <w:bCs/>
                <w:sz w:val="24"/>
                <w:szCs w:val="24"/>
                <w:rtl/>
              </w:rPr>
              <w:t>מדינת ישראל נ' פלוני</w:t>
            </w:r>
            <w:r w:rsidRPr="00D27E67">
              <w:rPr>
                <w:rStyle w:val="default"/>
                <w:rFonts w:ascii="David" w:hAnsi="David" w:cs="David"/>
                <w:sz w:val="24"/>
                <w:szCs w:val="24"/>
                <w:rtl/>
              </w:rPr>
              <w:t xml:space="preserve"> (27.6.23), הורשע נאשם על פי הודאתו בעבירות של מעשים מגונים בקטינה בת משפחה. הנאשם ביצע מעשים מגונים בשלוש נכדותיו, בנכדה אחת נגע בחזה מתחת לחולצתה מספר פעמים בין הגילאים 6-14, בנכדה השניה נגע בגופה מתחת לבגדיה, נישק אותה בפיה ומישש את ישבנה מתחת לבגדיה. בנכדה השלישית נגע בהזמנות יחידה בישבנה ובאיבר מינה מתחת לבגדיה. בית המשפט קבע </w:t>
            </w:r>
            <w:r w:rsidRPr="00D27E67">
              <w:rPr>
                <w:rStyle w:val="default"/>
                <w:rFonts w:ascii="David" w:hAnsi="David" w:cs="David"/>
                <w:b/>
                <w:bCs/>
                <w:sz w:val="24"/>
                <w:szCs w:val="24"/>
                <w:rtl/>
              </w:rPr>
              <w:t>מתחם עונש הנע בין 6 ועד ל-9 שנות מאסר בפועל</w:t>
            </w:r>
            <w:r w:rsidRPr="00D27E67">
              <w:rPr>
                <w:rStyle w:val="default"/>
                <w:rFonts w:ascii="David" w:hAnsi="David" w:cs="David"/>
                <w:sz w:val="24"/>
                <w:szCs w:val="24"/>
                <w:rtl/>
              </w:rPr>
              <w:t>. הנאשם בן 75, שנסיבות חייו קשות ולחובתו עבר פלילי, נדון ל-</w:t>
            </w:r>
            <w:r w:rsidRPr="00D27E67">
              <w:rPr>
                <w:rStyle w:val="default"/>
                <w:rFonts w:ascii="David" w:hAnsi="David" w:cs="David"/>
                <w:b/>
                <w:bCs/>
                <w:sz w:val="24"/>
                <w:szCs w:val="24"/>
                <w:rtl/>
              </w:rPr>
              <w:t>8 שנות מאסר בפועל</w:t>
            </w:r>
            <w:r w:rsidRPr="00D27E67">
              <w:rPr>
                <w:rStyle w:val="default"/>
                <w:rFonts w:ascii="David" w:hAnsi="David" w:cs="David"/>
                <w:sz w:val="24"/>
                <w:szCs w:val="24"/>
                <w:rtl/>
              </w:rPr>
              <w:t xml:space="preserve">. </w:t>
            </w:r>
          </w:p>
          <w:p w:rsidR="00D27E67" w:rsidRPr="00D27E67" w:rsidRDefault="00D27E67" w:rsidP="00D27E67">
            <w:pPr>
              <w:pStyle w:val="a0"/>
              <w:jc w:val="both"/>
            </w:pPr>
            <w:r w:rsidRPr="00D27E67">
              <w:rPr>
                <w:rtl/>
              </w:rPr>
              <w:t xml:space="preserve">לאור כל האמור לעיל, אנו קובעים כי </w:t>
            </w:r>
            <w:r w:rsidRPr="00D27E67">
              <w:rPr>
                <w:b/>
                <w:bCs/>
                <w:rtl/>
              </w:rPr>
              <w:t>מתחם העונש ההולם</w:t>
            </w:r>
            <w:r w:rsidRPr="00D27E67">
              <w:rPr>
                <w:rtl/>
              </w:rPr>
              <w:t xml:space="preserve"> בגין האישום הראשון (כלפי א.א) הוא החל </w:t>
            </w:r>
            <w:r w:rsidRPr="00D27E67">
              <w:rPr>
                <w:b/>
                <w:bCs/>
                <w:rtl/>
              </w:rPr>
              <w:t>מ-6 ועד ל-10 שנות מאסר בפועל</w:t>
            </w:r>
            <w:r w:rsidRPr="00D27E67">
              <w:rPr>
                <w:rtl/>
              </w:rPr>
              <w:t xml:space="preserve"> ובגין האישום השני (כלפי ב.ב), מתחם העונש ההולם הוא החל </w:t>
            </w:r>
            <w:r w:rsidRPr="00D27E67">
              <w:rPr>
                <w:b/>
                <w:bCs/>
                <w:rtl/>
              </w:rPr>
              <w:t>משלוש שנים ותשעה חודשים ועד ל-5 שנות מאסר בפועל</w:t>
            </w:r>
            <w:r w:rsidRPr="00D27E67">
              <w:rPr>
                <w:rtl/>
              </w:rPr>
              <w:t xml:space="preserve">.  </w:t>
            </w:r>
          </w:p>
          <w:p w:rsidR="00D27E67" w:rsidRPr="00D27E67" w:rsidRDefault="00D27E67" w:rsidP="00D27E67">
            <w:pPr>
              <w:pStyle w:val="a0"/>
              <w:numPr>
                <w:ilvl w:val="0"/>
                <w:numId w:val="0"/>
              </w:numPr>
              <w:tabs>
                <w:tab w:val="left" w:pos="720"/>
              </w:tabs>
              <w:ind w:left="720" w:hanging="721"/>
              <w:jc w:val="both"/>
              <w:rPr>
                <w:b/>
                <w:bCs/>
                <w:u w:val="single"/>
              </w:rPr>
            </w:pPr>
            <w:r w:rsidRPr="00D27E67">
              <w:rPr>
                <w:b/>
                <w:bCs/>
                <w:u w:val="single"/>
                <w:rtl/>
              </w:rPr>
              <w:t xml:space="preserve">האם יש מקום לחרוג ממתחם העונש משיקולי צדק? </w:t>
            </w:r>
          </w:p>
          <w:p w:rsidR="00D27E67" w:rsidRDefault="00D27E67" w:rsidP="00D27E67">
            <w:pPr>
              <w:pStyle w:val="a0"/>
              <w:jc w:val="both"/>
            </w:pPr>
            <w:r w:rsidRPr="00D27E67">
              <w:rPr>
                <w:rtl/>
              </w:rPr>
              <w:lastRenderedPageBreak/>
              <w:t>בית המשפט העליון קבע כי במקרים חריגים בלבד ניתן לחרוג ממתחם העונש ההולם משיקולי צדק בשל מצב רפואי חמור של נאשם ואף להימנע מעונש של מאסר בפועל במקרים בהם עונש מאסר עלול לקצר בצורה ניכרת</w:t>
            </w:r>
            <w:r>
              <w:rPr>
                <w:rFonts w:hint="cs"/>
                <w:rtl/>
              </w:rPr>
              <w:t xml:space="preserve"> את תוחלת חייו של נאשם בשל מצבו הרפואי. לצד זאת נקבע כי גם כאשר הנאשם חולה במחלה קשה ומאסר עלול לקצר את חייו, אין הכרח כי יהא פטור מעונש מאסר בפועל בגין מעשיו, כאשר נקודת המוצא היא שגורמי הרפואה בשב"ס ערוכים לטפל באסירים במצבים רפואיים מורכבים (לעניין זה ראו דברי כב' השופט פוגלמן בע"פ 5669/14 </w:t>
            </w:r>
            <w:r>
              <w:rPr>
                <w:rFonts w:hint="cs"/>
                <w:b/>
                <w:bCs/>
                <w:rtl/>
              </w:rPr>
              <w:t>לופוליאנסקי נ' מדינת ישראל</w:t>
            </w:r>
            <w:r>
              <w:rPr>
                <w:rFonts w:hint="cs"/>
                <w:rtl/>
              </w:rPr>
              <w:t xml:space="preserve"> (פס' 221-222) (29.12.15); וכן ע"פ 8500/22 </w:t>
            </w:r>
            <w:r>
              <w:rPr>
                <w:rFonts w:hint="cs"/>
                <w:b/>
                <w:bCs/>
                <w:rtl/>
              </w:rPr>
              <w:t>אביטבול נ' מדינת ישראל</w:t>
            </w:r>
            <w:r>
              <w:rPr>
                <w:rFonts w:hint="cs"/>
                <w:rtl/>
              </w:rPr>
              <w:t xml:space="preserve"> (10.7.23); ע"פ 2724/17 </w:t>
            </w:r>
            <w:r>
              <w:rPr>
                <w:rFonts w:hint="cs"/>
                <w:b/>
                <w:bCs/>
                <w:rtl/>
              </w:rPr>
              <w:t>מורגנשטיין נ' מדינת ישראל</w:t>
            </w:r>
            <w:r>
              <w:rPr>
                <w:rFonts w:hint="cs"/>
                <w:rtl/>
              </w:rPr>
              <w:t xml:space="preserve"> (24.4.18)). במקרה הנוכחי לא נטען וממילא לא הוכח כי כך הם פני הדברים. </w:t>
            </w:r>
          </w:p>
          <w:p w:rsidR="00D27E67" w:rsidRDefault="00D27E67" w:rsidP="00D27E67">
            <w:pPr>
              <w:pStyle w:val="a0"/>
              <w:numPr>
                <w:ilvl w:val="0"/>
                <w:numId w:val="0"/>
              </w:numPr>
              <w:tabs>
                <w:tab w:val="left" w:pos="720"/>
              </w:tabs>
              <w:ind w:left="720"/>
              <w:jc w:val="both"/>
              <w:rPr>
                <w:lang w:eastAsia="he-IL"/>
              </w:rPr>
            </w:pPr>
            <w:r>
              <w:rPr>
                <w:rFonts w:hint="cs"/>
                <w:rtl/>
              </w:rPr>
              <w:t>מצבו הרפואי של הנאשם אכן מורכב והוא סובל ממחלת הסרטן בנוסף לתחלואה נלווית. בין היתר עבר צנתורים, סובל מסכרת ומיתר לחץ דם. בשנת 2022 אובחן כסובל מסרטן הערמונית וקיבל מענה אונקולוגי מתאים. בחודש נובמבר 23' זוהתה הישנות המחלה. המסמכים הרפואיים שהגיש הנאשם מלמדים כי הנאשם נמצא בטיפול אינטנסיבי ועל פניו מותאם למצבו הרפואי.</w:t>
            </w:r>
          </w:p>
          <w:p w:rsidR="00D27E67" w:rsidRDefault="00D27E67" w:rsidP="00D27E67">
            <w:pPr>
              <w:pStyle w:val="a0"/>
              <w:numPr>
                <w:ilvl w:val="0"/>
                <w:numId w:val="0"/>
              </w:numPr>
              <w:tabs>
                <w:tab w:val="left" w:pos="720"/>
              </w:tabs>
              <w:ind w:left="720"/>
              <w:jc w:val="both"/>
              <w:rPr>
                <w:lang w:eastAsia="he-IL"/>
              </w:rPr>
            </w:pPr>
            <w:r>
              <w:rPr>
                <w:rFonts w:hint="cs"/>
                <w:rtl/>
                <w:lang w:eastAsia="he-IL"/>
              </w:rPr>
              <w:t>ואולם, בשל חומרתם המופלגת של המעשים איננו סבורים כי גם בהתחשב בגילו של הנאשם, שהוא בן 80, יש כדי להצדיק חריגה מן המתחם. זאת בפרט בשים לב לכך שהוא המשיך וביצע את העבירות עד גיל 77, לפני כשלוש שנים. מצבו הרפואי של הנאשם וגילו יובאו בחשבון בקביעת עונשו בגבולות המתחמים, ובעונש הכולל שיוטל עליו.</w:t>
            </w:r>
          </w:p>
          <w:p w:rsidR="00D27E67" w:rsidRDefault="00D27E67" w:rsidP="00D27E67">
            <w:pPr>
              <w:pStyle w:val="af"/>
              <w:jc w:val="both"/>
              <w:rPr>
                <w:rFonts w:ascii="David" w:hAnsi="David"/>
                <w:rtl/>
              </w:rPr>
            </w:pPr>
            <w:r>
              <w:rPr>
                <w:rFonts w:ascii="David" w:hAnsi="David"/>
                <w:rtl/>
              </w:rPr>
              <w:t>גזירת העונש המתאים לנאשם</w:t>
            </w:r>
          </w:p>
          <w:p w:rsidR="00D27E67" w:rsidRPr="00D27E67" w:rsidRDefault="00D27E67" w:rsidP="00D27E67">
            <w:pPr>
              <w:pStyle w:val="a0"/>
              <w:jc w:val="both"/>
              <w:rPr>
                <w:rStyle w:val="default"/>
                <w:rFonts w:ascii="David" w:hAnsi="David" w:cs="David"/>
                <w:sz w:val="24"/>
                <w:szCs w:val="24"/>
                <w:rtl/>
              </w:rPr>
            </w:pPr>
            <w:r w:rsidRPr="00D27E67">
              <w:rPr>
                <w:rtl/>
              </w:rPr>
              <w:t xml:space="preserve">בגזירת העונש המתאים לנאשם, בגדרי מתחם העונש ההולם, יש להתחשב </w:t>
            </w:r>
            <w:r w:rsidRPr="00D27E67">
              <w:rPr>
                <w:b/>
                <w:bCs/>
                <w:rtl/>
              </w:rPr>
              <w:t>בנסיבות שאינן קשורות בביצוע העבירה</w:t>
            </w:r>
            <w:r w:rsidRPr="00D27E67">
              <w:rPr>
                <w:rtl/>
              </w:rPr>
              <w:t xml:space="preserve">. במסגרת זו </w:t>
            </w:r>
            <w:r w:rsidRPr="00D27E67">
              <w:rPr>
                <w:rStyle w:val="default"/>
                <w:rFonts w:ascii="David" w:hAnsi="David" w:cs="David"/>
                <w:sz w:val="24"/>
                <w:szCs w:val="24"/>
                <w:rtl/>
              </w:rPr>
              <w:t xml:space="preserve">מן הראוי לתת את הדעת לכך שהנאשם, אדם מבוגר כבן 80, הסובל מבעיות רפואיות שונות ובכללן מחלת סרטן. כאמור לעיל, מהמסמכים הרפואיים שהגיש נראה כי מקבל מענה בשב"ס לצרכיו הרפואיים המורכבים. מובן שעונש מאסר ממושך יקשה על הנאשם בהיותו מאסר ראשון, ובפרט לנוכח גילו המבוגר ומצבו הרפואי המורכב.  </w:t>
            </w:r>
          </w:p>
          <w:p w:rsidR="00D27E67" w:rsidRPr="00D27E67" w:rsidRDefault="00D27E67" w:rsidP="00D27E67">
            <w:pPr>
              <w:pStyle w:val="a0"/>
              <w:numPr>
                <w:ilvl w:val="0"/>
                <w:numId w:val="0"/>
              </w:numPr>
              <w:tabs>
                <w:tab w:val="left" w:pos="720"/>
              </w:tabs>
              <w:ind w:left="720"/>
              <w:jc w:val="both"/>
              <w:rPr>
                <w:rStyle w:val="default"/>
                <w:rFonts w:ascii="David" w:hAnsi="David" w:cs="David"/>
                <w:sz w:val="24"/>
                <w:szCs w:val="24"/>
                <w:rtl/>
              </w:rPr>
            </w:pPr>
            <w:r w:rsidRPr="00D27E67">
              <w:rPr>
                <w:rStyle w:val="default"/>
                <w:rFonts w:ascii="David" w:hAnsi="David" w:cs="David"/>
                <w:sz w:val="24"/>
                <w:szCs w:val="24"/>
                <w:rtl/>
              </w:rPr>
              <w:t>הנאשם הודה ונטל אחריות למעשיו כבר בעת חקירותיו במשטרה ובהמשך הודה במסגרת הסדר טיעון בבית המשפט ובכך חסך את עדותן של נפגעות העבירה. הנאשם הביע רצון טוב להפקיד סכום פיצוי משמעותי עבור נפגעות העבירה, ואולם בסופו של דבר נוצר קושי בהפקדת הפיצוי וזאת בשל מעצרו והעדר אדם אשר יבצע את ההפקדה מחשבונו, אך יש לראות בכך ביטוי נוסף לנטילת אחריות לנזק שנגרם לנפגעות העבירה.</w:t>
            </w:r>
          </w:p>
          <w:p w:rsidR="00D27E67" w:rsidRPr="00D27E67" w:rsidRDefault="00D27E67" w:rsidP="00D27E67">
            <w:pPr>
              <w:pStyle w:val="a0"/>
              <w:numPr>
                <w:ilvl w:val="0"/>
                <w:numId w:val="0"/>
              </w:numPr>
              <w:tabs>
                <w:tab w:val="left" w:pos="720"/>
              </w:tabs>
              <w:ind w:left="720"/>
              <w:jc w:val="both"/>
              <w:rPr>
                <w:rStyle w:val="default"/>
                <w:rFonts w:ascii="David" w:hAnsi="David" w:cs="David"/>
                <w:sz w:val="24"/>
                <w:szCs w:val="24"/>
              </w:rPr>
            </w:pPr>
            <w:r w:rsidRPr="00D27E67">
              <w:rPr>
                <w:rStyle w:val="default"/>
                <w:rFonts w:ascii="David" w:hAnsi="David" w:cs="David"/>
                <w:sz w:val="24"/>
                <w:szCs w:val="24"/>
                <w:rtl/>
              </w:rPr>
              <w:t xml:space="preserve">עוד נתנו דעתנו לחלוף הזמן הקרוב לשלוש שנים מתום ביצוע העבירות כלפי א.א, וכעשור לאחר ביצוע העבירה כלפי ב.ב, וכן לתקופה בה שוהה הנאשם במעצר העולה על שנה. </w:t>
            </w:r>
          </w:p>
          <w:p w:rsidR="00D27E67" w:rsidRPr="00D27E67" w:rsidRDefault="00D27E67" w:rsidP="00D27E67">
            <w:pPr>
              <w:pStyle w:val="a0"/>
              <w:numPr>
                <w:ilvl w:val="0"/>
                <w:numId w:val="0"/>
              </w:numPr>
              <w:tabs>
                <w:tab w:val="left" w:pos="720"/>
              </w:tabs>
              <w:ind w:left="720"/>
              <w:jc w:val="both"/>
              <w:rPr>
                <w:rStyle w:val="default"/>
                <w:rFonts w:ascii="David" w:hAnsi="David" w:cs="David"/>
                <w:sz w:val="24"/>
                <w:szCs w:val="24"/>
                <w:rtl/>
              </w:rPr>
            </w:pPr>
            <w:r w:rsidRPr="00D27E67">
              <w:rPr>
                <w:rtl/>
              </w:rPr>
              <w:t xml:space="preserve">עוד יש להביא בחשבון את שיקול </w:t>
            </w:r>
            <w:r w:rsidRPr="00D27E67">
              <w:rPr>
                <w:b/>
                <w:bCs/>
                <w:rtl/>
              </w:rPr>
              <w:t>הרתעת היחיד</w:t>
            </w:r>
            <w:r w:rsidRPr="00D27E67">
              <w:rPr>
                <w:rtl/>
              </w:rPr>
              <w:t xml:space="preserve"> בגדרו של המתחם, וזאת בשים לב לכך שהנאשם לא שולב בטיפול בתחום עבריינות המין וניתן להניח כי גורמי הסיכון עבורו לא פחתו באופן ממשי. </w:t>
            </w:r>
            <w:r w:rsidRPr="00D27E67">
              <w:rPr>
                <w:rStyle w:val="default"/>
                <w:rFonts w:ascii="David" w:hAnsi="David" w:cs="David"/>
                <w:sz w:val="24"/>
                <w:szCs w:val="24"/>
                <w:rtl/>
              </w:rPr>
              <w:t xml:space="preserve">כמו כן יש הביא בחשבון את שיקול </w:t>
            </w:r>
            <w:r w:rsidRPr="00D27E67">
              <w:rPr>
                <w:rStyle w:val="default"/>
                <w:rFonts w:ascii="David" w:hAnsi="David" w:cs="David"/>
                <w:b/>
                <w:bCs/>
                <w:sz w:val="24"/>
                <w:szCs w:val="24"/>
                <w:rtl/>
              </w:rPr>
              <w:t>הרתעת הרבים</w:t>
            </w:r>
            <w:r w:rsidRPr="00D27E67">
              <w:rPr>
                <w:rStyle w:val="default"/>
                <w:rFonts w:ascii="David" w:hAnsi="David" w:cs="David"/>
                <w:sz w:val="24"/>
                <w:szCs w:val="24"/>
                <w:rtl/>
              </w:rPr>
              <w:t xml:space="preserve"> בגדרו של המתחם וזאת לאור פסיקת בית המשפט העליון בדבר הצורך בהחמרת הענישה בעבירות אלה ומתן משקל משמעותי לשיקולי ההרתעה והגמול. </w:t>
            </w:r>
          </w:p>
          <w:p w:rsidR="00D27E67" w:rsidRPr="00D27E67" w:rsidRDefault="00D27E67" w:rsidP="00D27E67">
            <w:pPr>
              <w:pStyle w:val="a0"/>
              <w:jc w:val="both"/>
              <w:rPr>
                <w:rtl/>
              </w:rPr>
            </w:pPr>
            <w:r w:rsidRPr="00D27E67">
              <w:rPr>
                <w:rStyle w:val="default"/>
                <w:rFonts w:ascii="David" w:hAnsi="David" w:cs="David"/>
                <w:sz w:val="24"/>
                <w:szCs w:val="24"/>
                <w:rtl/>
              </w:rPr>
              <w:lastRenderedPageBreak/>
              <w:t xml:space="preserve">באיזון בין השיקולים השונים, אנו סבורים כי יש לגזור על הנאשם עונש כולל אחד, בחלקו הנמוך של מתחמי העונש, לצד מאסר מותנה. כמו כן, יש להטיל על הנאשם פיצוי כספי משמעותי לנפגעות העבירה בגין הנזק הרב שגרם להן. </w:t>
            </w:r>
          </w:p>
          <w:p w:rsidR="00D27E67" w:rsidRDefault="00D27E67" w:rsidP="00D27E67">
            <w:pPr>
              <w:pStyle w:val="a0"/>
              <w:numPr>
                <w:ilvl w:val="0"/>
                <w:numId w:val="0"/>
              </w:numPr>
              <w:tabs>
                <w:tab w:val="left" w:pos="720"/>
              </w:tabs>
              <w:ind w:left="720"/>
              <w:jc w:val="both"/>
            </w:pPr>
            <w:r>
              <w:rPr>
                <w:rFonts w:hint="cs"/>
                <w:rtl/>
              </w:rPr>
              <w:t xml:space="preserve">בשולי הדברים, אנו מפנים את </w:t>
            </w:r>
            <w:r>
              <w:rPr>
                <w:rFonts w:hint="cs"/>
                <w:rtl/>
                <w:lang w:eastAsia="he-IL"/>
              </w:rPr>
              <w:t xml:space="preserve">תשומת לב שב"ס לבקשת ההגנה לאפשר לנאשם לשאת את עונש המאסר במסגרת מר"ש לנוכח מצבו הרפואי המורכב. </w:t>
            </w:r>
          </w:p>
          <w:p w:rsidR="00D27E67" w:rsidRDefault="00D27E67" w:rsidP="00D27E67">
            <w:pPr>
              <w:pStyle w:val="a"/>
              <w:numPr>
                <w:ilvl w:val="0"/>
                <w:numId w:val="0"/>
              </w:numPr>
              <w:tabs>
                <w:tab w:val="left" w:pos="720"/>
              </w:tabs>
              <w:ind w:right="0"/>
              <w:jc w:val="both"/>
              <w:rPr>
                <w:rFonts w:ascii="David" w:hAnsi="David"/>
                <w:b/>
                <w:bCs/>
                <w:u w:val="single"/>
              </w:rPr>
            </w:pPr>
            <w:r>
              <w:rPr>
                <w:rFonts w:ascii="David" w:hAnsi="David"/>
                <w:b/>
                <w:bCs/>
                <w:u w:val="single"/>
                <w:rtl/>
              </w:rPr>
              <w:t>סוף דבר</w:t>
            </w:r>
          </w:p>
          <w:p w:rsidR="00D27E67" w:rsidRPr="00D27E67" w:rsidRDefault="00D27E67" w:rsidP="00D27E67">
            <w:pPr>
              <w:pStyle w:val="a0"/>
              <w:jc w:val="both"/>
              <w:rPr>
                <w:rtl/>
              </w:rPr>
            </w:pPr>
            <w:r w:rsidRPr="00D27E67">
              <w:rPr>
                <w:b/>
                <w:bCs/>
                <w:u w:val="single"/>
                <w:rtl/>
              </w:rPr>
              <w:t>לפיכך, אנו גוזרים על הנאשם את העונשים המפורטים להלן</w:t>
            </w:r>
            <w:r w:rsidRPr="00D27E67">
              <w:rPr>
                <w:rtl/>
              </w:rPr>
              <w:t>:</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tl/>
              </w:rPr>
            </w:pPr>
            <w:r w:rsidRPr="00D27E67">
              <w:rPr>
                <w:rStyle w:val="default"/>
                <w:rFonts w:ascii="David" w:hAnsi="David" w:cs="David"/>
                <w:b/>
                <w:bCs/>
                <w:sz w:val="24"/>
                <w:szCs w:val="24"/>
                <w:rtl/>
              </w:rPr>
              <w:t>6.5 שנות מאסר בפועל</w:t>
            </w:r>
            <w:r w:rsidRPr="00D27E67">
              <w:rPr>
                <w:rStyle w:val="default"/>
                <w:rFonts w:ascii="David" w:hAnsi="David" w:cs="David"/>
                <w:sz w:val="24"/>
                <w:szCs w:val="24"/>
                <w:rtl/>
              </w:rPr>
              <w:t xml:space="preserve"> אשר מניינן מיום מעצרו, 31.1.23.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12 חודשי מאסר על תנאי, לבל יעבור הנאשם במשך 3 שנים מיום שחרורו ממאסר כל עבירת מין מסוג פשע.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6 חודשי מאסר על תנאי, לבל יעבור הנאשם במשך 3 שנים מיום שחרורו ממאסר כל עבירת מין מסוג עוון. </w:t>
            </w:r>
          </w:p>
          <w:p w:rsidR="00D27E67" w:rsidRPr="00D27E67" w:rsidRDefault="00D27E67" w:rsidP="00D27E67">
            <w:pPr>
              <w:pStyle w:val="a"/>
              <w:numPr>
                <w:ilvl w:val="1"/>
                <w:numId w:val="2"/>
              </w:numPr>
              <w:tabs>
                <w:tab w:val="num" w:pos="1286"/>
              </w:tabs>
              <w:ind w:left="1286" w:right="0" w:hanging="540"/>
              <w:jc w:val="both"/>
              <w:rPr>
                <w:rStyle w:val="default"/>
                <w:rFonts w:ascii="David" w:hAnsi="David" w:cs="David"/>
                <w:sz w:val="24"/>
                <w:szCs w:val="24"/>
              </w:rPr>
            </w:pPr>
            <w:r w:rsidRPr="00D27E67">
              <w:rPr>
                <w:rStyle w:val="default"/>
                <w:rFonts w:ascii="David" w:hAnsi="David" w:cs="David"/>
                <w:sz w:val="24"/>
                <w:szCs w:val="24"/>
                <w:rtl/>
              </w:rPr>
              <w:t xml:space="preserve">פיצוי בסך 150,000 ₪ לנפגעות העבירה אשר יחולק באופן הבא: 120,000 לא.א ו-30,000 ₪ לב.ב. הפיצוי יופקד במזכירות בית המשפט ב-10 תשלומים חודשיים שווים ורצופים, שהראשון שבהם ביום 1.9.24. אם לא ישולם תשלום כלשהו במועדו, תעמוד היתרה לפירעון מיידי. </w:t>
            </w:r>
          </w:p>
          <w:p w:rsidR="00D27E67" w:rsidRPr="00D27E67" w:rsidRDefault="00D27E67" w:rsidP="00D27E67">
            <w:pPr>
              <w:pStyle w:val="a0"/>
              <w:numPr>
                <w:ilvl w:val="0"/>
                <w:numId w:val="0"/>
              </w:numPr>
              <w:tabs>
                <w:tab w:val="left" w:pos="720"/>
              </w:tabs>
              <w:ind w:left="720"/>
              <w:jc w:val="both"/>
              <w:rPr>
                <w:lang w:eastAsia="he-IL"/>
              </w:rPr>
            </w:pPr>
          </w:p>
          <w:p w:rsidR="00D27E67" w:rsidRDefault="00D27E67" w:rsidP="00D27E67">
            <w:pPr>
              <w:pStyle w:val="a"/>
              <w:numPr>
                <w:ilvl w:val="0"/>
                <w:numId w:val="0"/>
              </w:numPr>
              <w:tabs>
                <w:tab w:val="left" w:pos="720"/>
              </w:tabs>
              <w:ind w:right="0" w:firstLine="720"/>
              <w:jc w:val="both"/>
              <w:rPr>
                <w:lang w:eastAsia="he-IL"/>
              </w:rPr>
            </w:pPr>
            <w:r>
              <w:rPr>
                <w:rtl/>
                <w:lang w:eastAsia="he-IL"/>
              </w:rPr>
              <w:t xml:space="preserve">מזכירות בית המשפט תמציא העתק גזר הדין לעורכת תסקיר נפגעת העבירה. </w:t>
            </w:r>
          </w:p>
          <w:p w:rsidR="00D27E67" w:rsidRDefault="00D27E67" w:rsidP="00D27E67">
            <w:pPr>
              <w:pStyle w:val="a"/>
              <w:numPr>
                <w:ilvl w:val="0"/>
                <w:numId w:val="0"/>
              </w:numPr>
              <w:tabs>
                <w:tab w:val="left" w:pos="720"/>
              </w:tabs>
              <w:ind w:right="0" w:firstLine="720"/>
              <w:jc w:val="both"/>
              <w:rPr>
                <w:rtl/>
                <w:lang w:eastAsia="he-IL"/>
              </w:rPr>
            </w:pPr>
            <w:r>
              <w:rPr>
                <w:rtl/>
                <w:lang w:eastAsia="he-IL"/>
              </w:rPr>
              <w:t xml:space="preserve">זכות ערעור לבית-המשפט העליון בתוך 45 ימים. </w:t>
            </w:r>
          </w:p>
          <w:p w:rsidR="00D27E67" w:rsidRDefault="00D27E67" w:rsidP="00D27E67">
            <w:pPr>
              <w:jc w:val="both"/>
              <w:rPr>
                <w:rtl/>
              </w:rPr>
            </w:pPr>
          </w:p>
          <w:p w:rsidR="00D27E67" w:rsidRDefault="00D27E67" w:rsidP="00D27E67">
            <w:pPr>
              <w:rPr>
                <w:rFonts w:ascii="Arial" w:hAnsi="Arial"/>
                <w:b/>
                <w:bCs/>
                <w:sz w:val="26"/>
                <w:szCs w:val="26"/>
                <w:rtl/>
              </w:rPr>
            </w:pPr>
          </w:p>
          <w:p w:rsidR="00D27E67" w:rsidRDefault="00D27E67" w:rsidP="00D27E67">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ח' אלול תשפ"ד</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11 ספטמבר 2024</w:t>
                </w:r>
              </w:sdtContent>
            </w:sdt>
            <w:r>
              <w:rPr>
                <w:rFonts w:ascii="Arial" w:hAnsi="Arial"/>
                <w:b/>
                <w:bCs/>
                <w:sz w:val="26"/>
                <w:szCs w:val="26"/>
                <w:rtl/>
              </w:rPr>
              <w:t>, בנוכחות הצדדים.</w:t>
            </w:r>
          </w:p>
          <w:p w:rsidR="00D27E67" w:rsidRDefault="00D27E67" w:rsidP="00D27E67">
            <w:pPr>
              <w:rPr>
                <w:rFonts w:cstheme="minorBidi"/>
                <w:sz w:val="28"/>
                <w:szCs w:val="28"/>
                <w:rtl/>
              </w:rPr>
            </w:pPr>
            <w:r>
              <w:rPr>
                <w:rFonts w:ascii="Arial" w:hAnsi="Arial"/>
                <w:b/>
                <w:bCs/>
                <w:sz w:val="26"/>
                <w:szCs w:val="26"/>
                <w:rtl/>
              </w:rPr>
              <w:tab/>
            </w:r>
            <w:r>
              <w:rPr>
                <w:rFonts w:ascii="Arial" w:hAnsi="Arial"/>
                <w:b/>
                <w:bCs/>
                <w:sz w:val="26"/>
                <w:szCs w:val="26"/>
                <w:rtl/>
              </w:rPr>
              <w:tab/>
            </w:r>
          </w:p>
          <w:p w:rsidR="00D27E67" w:rsidRDefault="00D27E67" w:rsidP="00D27E67">
            <w:pPr>
              <w:spacing w:line="360" w:lineRule="auto"/>
              <w:rPr>
                <w:sz w:val="22"/>
                <w:szCs w:val="22"/>
              </w:rPr>
            </w:pPr>
          </w:p>
          <w:tbl>
            <w:tblPr>
              <w:tblStyle w:val="ab"/>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D27E67" w:rsidTr="00D27E67">
              <w:tc>
                <w:tcPr>
                  <w:tcW w:w="3383" w:type="dxa"/>
                  <w:hideMark/>
                </w:tcPr>
                <w:p w:rsidR="00D27E67" w:rsidRDefault="002A021D" w:rsidP="00D27E67">
                  <w:pPr>
                    <w:jc w:val="center"/>
                    <w:rPr>
                      <w:sz w:val="20"/>
                      <w:szCs w:val="20"/>
                      <w:rtl/>
                    </w:rPr>
                  </w:pPr>
                  <w:sdt>
                    <w:sdtPr>
                      <w:rPr>
                        <w:rFonts w:cs="Times New Roman"/>
                        <w:sz w:val="20"/>
                        <w:szCs w:val="20"/>
                        <w:rtl/>
                      </w:rPr>
                      <w:alias w:val="MergeField"/>
                      <w:tag w:val="2250"/>
                      <w:id w:val="-130406988"/>
                    </w:sdtPr>
                    <w:sdtEndPr/>
                    <w:sdtContent>
                      <w:r w:rsidR="00D27E67">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sdtContent>
                  </w:sdt>
                </w:p>
              </w:tc>
              <w:tc>
                <w:tcPr>
                  <w:tcW w:w="3536" w:type="dxa"/>
                </w:tcPr>
                <w:p w:rsidR="00D27E67" w:rsidRDefault="00D27E67" w:rsidP="00D27E67">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D27E67" w:rsidRDefault="00D27E67" w:rsidP="00D27E67">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D27E67" w:rsidRDefault="00D27E67" w:rsidP="00D27E67">
                      <w:pPr>
                        <w:jc w:val="center"/>
                        <w:rPr>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D27E67" w:rsidTr="00D27E67">
              <w:tc>
                <w:tcPr>
                  <w:tcW w:w="3383" w:type="dxa"/>
                  <w:hideMark/>
                </w:tcPr>
                <w:p w:rsidR="00D27E67" w:rsidRDefault="002A021D" w:rsidP="00D27E67">
                  <w:pPr>
                    <w:spacing w:line="360" w:lineRule="auto"/>
                    <w:jc w:val="center"/>
                    <w:rPr>
                      <w:rFonts w:ascii="David" w:hAnsi="David"/>
                    </w:rPr>
                  </w:pPr>
                  <w:sdt>
                    <w:sdtPr>
                      <w:rPr>
                        <w:rtl/>
                      </w:rPr>
                      <w:alias w:val="2235"/>
                      <w:tag w:val="2235"/>
                      <w:id w:val="1100069598"/>
                    </w:sdtPr>
                    <w:sdtEndPr/>
                    <w:sdtContent>
                      <w:r w:rsidR="00D27E67">
                        <w:rPr>
                          <w:rFonts w:ascii="David" w:hAnsi="David"/>
                          <w:rtl/>
                        </w:rPr>
                        <w:t>עמי</w:t>
                      </w:r>
                    </w:sdtContent>
                  </w:sdt>
                  <w:r w:rsidR="00D27E67">
                    <w:rPr>
                      <w:rFonts w:ascii="David" w:hAnsi="David"/>
                      <w:rtl/>
                    </w:rPr>
                    <w:t xml:space="preserve">  </w:t>
                  </w:r>
                  <w:sdt>
                    <w:sdtPr>
                      <w:rPr>
                        <w:rFonts w:cs="Times New Roman" w:hint="cs"/>
                        <w:rtl/>
                      </w:rPr>
                      <w:alias w:val="2240"/>
                      <w:tag w:val="2240"/>
                      <w:id w:val="825638415"/>
                    </w:sdtPr>
                    <w:sdtEndPr/>
                    <w:sdtContent>
                      <w:r w:rsidR="00D27E67">
                        <w:rPr>
                          <w:rFonts w:ascii="David" w:hAnsi="David"/>
                          <w:rtl/>
                        </w:rPr>
                        <w:t>קובו</w:t>
                      </w:r>
                    </w:sdtContent>
                  </w:sdt>
                  <w:r w:rsidR="00D27E67">
                    <w:rPr>
                      <w:rFonts w:ascii="David" w:hAnsi="David"/>
                      <w:rtl/>
                    </w:rPr>
                    <w:t xml:space="preserve">, </w:t>
                  </w:r>
                  <w:sdt>
                    <w:sdtPr>
                      <w:rPr>
                        <w:rFonts w:cs="Times New Roman" w:hint="cs"/>
                        <w:rtl/>
                      </w:rPr>
                      <w:alias w:val="2245"/>
                      <w:tag w:val="2245"/>
                      <w:id w:val="533847746"/>
                    </w:sdtPr>
                    <w:sdtEndPr/>
                    <w:sdtContent>
                      <w:r w:rsidR="00D27E67">
                        <w:rPr>
                          <w:rFonts w:ascii="David" w:hAnsi="David"/>
                          <w:rtl/>
                        </w:rPr>
                        <w:t xml:space="preserve">שופט, סגן הנשיאה, </w:t>
                      </w:r>
                    </w:sdtContent>
                  </w:sdt>
                </w:p>
              </w:tc>
              <w:tc>
                <w:tcPr>
                  <w:tcW w:w="3536" w:type="dxa"/>
                  <w:hideMark/>
                </w:tcPr>
                <w:p w:rsidR="00D27E67" w:rsidRDefault="002A021D" w:rsidP="00D27E67">
                  <w:pPr>
                    <w:spacing w:line="360" w:lineRule="auto"/>
                    <w:jc w:val="center"/>
                    <w:rPr>
                      <w:rFonts w:ascii="David" w:hAnsi="David"/>
                    </w:rPr>
                  </w:pPr>
                  <w:sdt>
                    <w:sdtPr>
                      <w:rPr>
                        <w:rtl/>
                      </w:rPr>
                      <w:alias w:val="2236"/>
                      <w:tag w:val="2236"/>
                      <w:id w:val="639300144"/>
                    </w:sdtPr>
                    <w:sdtEndPr/>
                    <w:sdtContent>
                      <w:r w:rsidR="00D27E67">
                        <w:rPr>
                          <w:rFonts w:ascii="David" w:hAnsi="David"/>
                          <w:rtl/>
                        </w:rPr>
                        <w:t>מיכאל</w:t>
                      </w:r>
                    </w:sdtContent>
                  </w:sdt>
                  <w:r w:rsidR="00D27E67">
                    <w:rPr>
                      <w:rFonts w:ascii="David" w:hAnsi="David"/>
                      <w:rtl/>
                    </w:rPr>
                    <w:t xml:space="preserve"> </w:t>
                  </w:r>
                  <w:sdt>
                    <w:sdtPr>
                      <w:rPr>
                        <w:rFonts w:cs="Times New Roman" w:hint="cs"/>
                        <w:rtl/>
                      </w:rPr>
                      <w:alias w:val="2241"/>
                      <w:tag w:val="2241"/>
                      <w:id w:val="-2097088705"/>
                    </w:sdtPr>
                    <w:sdtEndPr/>
                    <w:sdtContent>
                      <w:r w:rsidR="00D27E67">
                        <w:rPr>
                          <w:rFonts w:ascii="David" w:hAnsi="David"/>
                          <w:rtl/>
                        </w:rPr>
                        <w:t>קרשן</w:t>
                      </w:r>
                    </w:sdtContent>
                  </w:sdt>
                  <w:r w:rsidR="00D27E67">
                    <w:rPr>
                      <w:rFonts w:ascii="David" w:hAnsi="David"/>
                      <w:rtl/>
                    </w:rPr>
                    <w:t xml:space="preserve">, </w:t>
                  </w:r>
                  <w:sdt>
                    <w:sdtPr>
                      <w:rPr>
                        <w:rFonts w:cs="Times New Roman" w:hint="cs"/>
                        <w:rtl/>
                      </w:rPr>
                      <w:alias w:val="2246"/>
                      <w:tag w:val="2246"/>
                      <w:id w:val="-1989393221"/>
                    </w:sdtPr>
                    <w:sdtEndPr/>
                    <w:sdtContent>
                      <w:r w:rsidR="00D27E67">
                        <w:rPr>
                          <w:rFonts w:ascii="David" w:hAnsi="David"/>
                          <w:rtl/>
                        </w:rPr>
                        <w:t>שופט</w:t>
                      </w:r>
                    </w:sdtContent>
                  </w:sdt>
                </w:p>
              </w:tc>
              <w:tc>
                <w:tcPr>
                  <w:tcW w:w="3341" w:type="dxa"/>
                  <w:hideMark/>
                </w:tcPr>
                <w:p w:rsidR="00D27E67" w:rsidRDefault="002A021D" w:rsidP="00D27E67">
                  <w:pPr>
                    <w:spacing w:line="360" w:lineRule="auto"/>
                    <w:jc w:val="center"/>
                    <w:rPr>
                      <w:rFonts w:ascii="David" w:hAnsi="David"/>
                      <w:rtl/>
                    </w:rPr>
                  </w:pPr>
                  <w:sdt>
                    <w:sdtPr>
                      <w:rPr>
                        <w:rtl/>
                      </w:rPr>
                      <w:alias w:val="2237"/>
                      <w:tag w:val="2237"/>
                      <w:id w:val="-31890643"/>
                    </w:sdtPr>
                    <w:sdtEndPr/>
                    <w:sdtContent>
                      <w:r w:rsidR="00D27E67">
                        <w:rPr>
                          <w:rFonts w:ascii="David" w:hAnsi="David"/>
                          <w:rtl/>
                        </w:rPr>
                        <w:t>מרב</w:t>
                      </w:r>
                    </w:sdtContent>
                  </w:sdt>
                  <w:r w:rsidR="00D27E67">
                    <w:rPr>
                      <w:rFonts w:ascii="David" w:hAnsi="David"/>
                      <w:rtl/>
                    </w:rPr>
                    <w:t xml:space="preserve"> </w:t>
                  </w:r>
                  <w:sdt>
                    <w:sdtPr>
                      <w:rPr>
                        <w:rFonts w:cs="Times New Roman" w:hint="cs"/>
                        <w:rtl/>
                      </w:rPr>
                      <w:alias w:val="2242"/>
                      <w:tag w:val="2242"/>
                      <w:id w:val="358854881"/>
                    </w:sdtPr>
                    <w:sdtEndPr/>
                    <w:sdtContent>
                      <w:r w:rsidR="00D27E67">
                        <w:rPr>
                          <w:rFonts w:ascii="David" w:hAnsi="David"/>
                          <w:rtl/>
                        </w:rPr>
                        <w:t>גרינברג</w:t>
                      </w:r>
                    </w:sdtContent>
                  </w:sdt>
                  <w:r w:rsidR="00D27E67">
                    <w:rPr>
                      <w:rFonts w:ascii="David" w:hAnsi="David"/>
                      <w:rtl/>
                    </w:rPr>
                    <w:t xml:space="preserve">, </w:t>
                  </w:r>
                  <w:sdt>
                    <w:sdtPr>
                      <w:rPr>
                        <w:rFonts w:cs="Times New Roman" w:hint="cs"/>
                        <w:rtl/>
                      </w:rPr>
                      <w:alias w:val="2247"/>
                      <w:tag w:val="2247"/>
                      <w:id w:val="243227774"/>
                    </w:sdtPr>
                    <w:sdtEndPr/>
                    <w:sdtContent>
                      <w:r w:rsidR="00D27E67">
                        <w:rPr>
                          <w:rFonts w:ascii="David" w:hAnsi="David"/>
                          <w:rtl/>
                        </w:rPr>
                        <w:t>שופטת</w:t>
                      </w:r>
                    </w:sdtContent>
                  </w:sdt>
                </w:p>
              </w:tc>
            </w:tr>
          </w:tbl>
          <w:p w:rsidR="00D27E67" w:rsidRDefault="00D27E67" w:rsidP="00D27E67">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2422C215C9C24F59A81E51B510A4DA6D"/>
                </w:placeholder>
                <w:showingPlcHdr/>
                <w:text w:multiLine="1"/>
              </w:sdtPr>
              <w:sdtEndPr/>
              <w:sdtContent>
                <w:r>
                  <w:rPr>
                    <w:rFonts w:ascii="Arial" w:hAnsi="Arial"/>
                    <w:b/>
                    <w:bCs/>
                    <w:sz w:val="26"/>
                    <w:szCs w:val="26"/>
                    <w:rtl/>
                  </w:rPr>
                  <w:t xml:space="preserve">    </w:t>
                </w:r>
              </w:sdtContent>
            </w:sdt>
          </w:p>
          <w:p w:rsidR="00D44968" w:rsidRPr="00D44968" w:rsidRDefault="00D44968" w:rsidP="00D27E67">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21D" w:rsidRDefault="002A021D">
      <w:r>
        <w:separator/>
      </w:r>
    </w:p>
  </w:endnote>
  <w:endnote w:type="continuationSeparator" w:id="0">
    <w:p w:rsidR="002A021D" w:rsidRDefault="002A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d"/>
        <w:rFonts w:ascii="David" w:hAnsi="David"/>
      </w:rPr>
    </w:pPr>
    <w:r w:rsidRPr="00E765F7">
      <w:rPr>
        <w:rStyle w:val="ad"/>
        <w:rFonts w:ascii="David" w:hAnsi="David"/>
      </w:rPr>
      <w:fldChar w:fldCharType="begin"/>
    </w:r>
    <w:r w:rsidR="00005C8B" w:rsidRPr="00E765F7">
      <w:rPr>
        <w:rStyle w:val="ad"/>
        <w:rFonts w:ascii="David" w:hAnsi="David"/>
      </w:rPr>
      <w:instrText xml:space="preserve"> PAGE </w:instrText>
    </w:r>
    <w:r w:rsidRPr="00E765F7">
      <w:rPr>
        <w:rStyle w:val="ad"/>
        <w:rFonts w:ascii="David" w:hAnsi="David"/>
      </w:rPr>
      <w:fldChar w:fldCharType="separate"/>
    </w:r>
    <w:r w:rsidR="0008361C">
      <w:rPr>
        <w:rStyle w:val="ad"/>
        <w:rFonts w:ascii="David" w:hAnsi="David"/>
        <w:rtl/>
      </w:rPr>
      <w:t>1</w:t>
    </w:r>
    <w:r w:rsidRPr="00E765F7">
      <w:rPr>
        <w:rStyle w:val="ad"/>
        <w:rFonts w:ascii="David" w:hAnsi="David"/>
      </w:rPr>
      <w:fldChar w:fldCharType="end"/>
    </w:r>
    <w:r w:rsidR="00005C8B" w:rsidRPr="00E765F7">
      <w:rPr>
        <w:rStyle w:val="ad"/>
        <w:rFonts w:ascii="David" w:hAnsi="David"/>
        <w:rtl/>
      </w:rPr>
      <w:t xml:space="preserve"> מתוך </w:t>
    </w:r>
    <w:r w:rsidRPr="00E765F7">
      <w:rPr>
        <w:rStyle w:val="ad"/>
        <w:rFonts w:ascii="David" w:hAnsi="David"/>
      </w:rPr>
      <w:fldChar w:fldCharType="begin"/>
    </w:r>
    <w:r w:rsidR="00005C8B" w:rsidRPr="00E765F7">
      <w:rPr>
        <w:rStyle w:val="ad"/>
        <w:rFonts w:ascii="David" w:hAnsi="David"/>
      </w:rPr>
      <w:instrText xml:space="preserve"> NUMPAGES </w:instrText>
    </w:r>
    <w:r w:rsidRPr="00E765F7">
      <w:rPr>
        <w:rStyle w:val="ad"/>
        <w:rFonts w:ascii="David" w:hAnsi="David"/>
      </w:rPr>
      <w:fldChar w:fldCharType="separate"/>
    </w:r>
    <w:r w:rsidR="0008361C">
      <w:rPr>
        <w:rStyle w:val="ad"/>
        <w:rFonts w:ascii="David" w:hAnsi="David"/>
        <w:rtl/>
      </w:rPr>
      <w:t>1</w:t>
    </w:r>
    <w:r w:rsidRPr="00E765F7">
      <w:rPr>
        <w:rStyle w:val="ad"/>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21D" w:rsidRDefault="002A021D">
      <w:r>
        <w:separator/>
      </w:r>
    </w:p>
  </w:footnote>
  <w:footnote w:type="continuationSeparator" w:id="0">
    <w:p w:rsidR="002A021D" w:rsidRDefault="002A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Default="002A021D" w:rsidP="00D27E67">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46242-02-23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D27E67">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5"/>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21DC4CFA"/>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226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22662&amp;lt;/CaseID&amp;gt;_x000d__x000a_        &amp;lt;CaseMonth&amp;gt;2&amp;lt;/CaseMonth&amp;gt;_x000d__x000a_        &amp;lt;CaseYear&amp;gt;2023&amp;lt;/CaseYear&amp;gt;_x000d__x000a_        &amp;lt;CaseNumber&amp;gt;46242&amp;lt;/CaseNumber&amp;gt;_x000d__x000a_        &amp;lt;NumeratorGroupID&amp;gt;1&amp;lt;/NumeratorGroupID&amp;gt;_x000d__x000a_        &amp;lt;CaseName&amp;gt;מדינת ישראל נ&amp;#39; יערי(עציר)&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6242-02-23&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3-02-20T10:25: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גמור הועב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22662&amp;lt;/CaseID&amp;gt;_x000d__x000a_        &amp;lt;CaseMonth&amp;gt;2&amp;lt;/CaseMonth&amp;gt;_x000d__x000a_        &amp;lt;CaseYear&amp;gt;2023&amp;lt;/CaseYear&amp;gt;_x000d__x000a_        &amp;lt;CaseNumber&amp;gt;46242&amp;lt;/CaseNumber&amp;gt;_x000d__x000a_        &amp;lt;NumeratorGroupID&amp;gt;1&amp;lt;/NumeratorGroupID&amp;gt;_x000d__x000a_        &amp;lt;CaseName&amp;gt;מדינת ישראל נ&amp;#39; יערי(עציר)&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6242-02-23&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OpenDate&amp;gt;2023-02-20T10:25: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גמור הועב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98041&amp;lt;/DecisionID&amp;gt;_x000d__x000a_        &amp;lt;DecisionName&amp;gt;החלטה  שניתנה ע&amp;quot;י  עמי קובו&amp;lt;/DecisionName&amp;gt;_x000d__x000a_        &amp;lt;DecisionStatusID&amp;gt;1&amp;lt;/DecisionStatusID&amp;gt;_x000d__x000a_        &amp;lt;DecisionStatusChangeDate&amp;gt;2024-09-10T09:25:40.667+03:00&amp;lt;/DecisionStatusChangeDate&amp;gt;_x000d__x000a_        &amp;lt;DecisionSignatureDate&amp;gt;2024-09-10T09:25:39.013+03:00&amp;lt;/DecisionSignatureDate&amp;gt;_x000d__x000a_        &amp;lt;DecisionSignatureUserID&amp;gt;029737269@GOV.IL&amp;lt;/DecisionSignatureUserID&amp;gt;_x000d__x000a_        &amp;lt;DecisionCreateDate&amp;gt;2024-09-10T09:25:30.577+03:00&amp;lt;/DecisionCreateDate&amp;gt;_x000d__x000a_        &amp;lt;DecisionChangeDate&amp;gt;2024-09-10T09:25:41.747+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6699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54798041&amp;lt;/DecisionID&amp;gt;_x000d__x000a_        &amp;lt;CaseID&amp;gt;80022662&amp;lt;/CaseID&amp;gt;_x000d__x000a_        &amp;lt;IsOriginal&amp;gt;true&amp;lt;/IsOriginal&amp;gt;_x000d__x000a_        &amp;lt;IsDeleted&amp;gt;false&amp;lt;/IsDeleted&amp;gt;_x000d__x000a_        &amp;lt;CaseName&amp;gt;מדינת ישראל נ&amp;#39; יערי(עציר)&amp;lt;/CaseName&amp;gt;_x000d__x000a_        &amp;lt;CaseDisplayIdentifier&amp;gt;46242-02-23 תפח&amp;quot;ע&amp;lt;/CaseDisplayIdentifier&amp;gt;_x000d__x000a_      &amp;lt;/dt_DecisionCase&amp;gt;_x000d__x000a_      &amp;lt;dt_DecisionJudgePanel diffgr:id=&amp;quot;dt_DecisionJudgePanel1&amp;quot; msdata:rowOrder=&amp;quot;0&amp;quot;&amp;gt;_x000d__x000a_        &amp;lt;DecisionID&amp;gt;154798041&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798041&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798041&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4798041"/>
    <w:docVar w:name="docID" w:val="454669961"/>
    <w:docVar w:name="judgeUPN" w:val="029737269@GOV.IL"/>
    <w:docVar w:name="NGCS.TemplateCaseInterestID" w:val="-1"/>
    <w:docVar w:name="NGCS.TemplateCaseTypeID" w:val="10284"/>
    <w:docVar w:name="NGCS.TemplateCourtID" w:val="896"/>
    <w:docVar w:name="NGCS.TemplateProceedingID" w:val="2"/>
    <w:docVar w:name="noteDocID" w:val="454669961"/>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82AB2"/>
    <w:rsid w:val="0008361C"/>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35A0"/>
    <w:rsid w:val="001E75CA"/>
    <w:rsid w:val="002265FF"/>
    <w:rsid w:val="00235B97"/>
    <w:rsid w:val="00271B56"/>
    <w:rsid w:val="00297638"/>
    <w:rsid w:val="002A021D"/>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570BA"/>
    <w:rsid w:val="00671BD5"/>
    <w:rsid w:val="006805C1"/>
    <w:rsid w:val="00686C21"/>
    <w:rsid w:val="006931C1"/>
    <w:rsid w:val="00694556"/>
    <w:rsid w:val="006B7258"/>
    <w:rsid w:val="006C30C5"/>
    <w:rsid w:val="006C5FA0"/>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E5FD7"/>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27E67"/>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3230C7"/>
    <w:rPr>
      <w:color w:val="808080"/>
    </w:rPr>
  </w:style>
  <w:style w:type="paragraph" w:styleId="a">
    <w:name w:val="List Number"/>
    <w:basedOn w:val="a1"/>
    <w:unhideWhenUsed/>
    <w:rsid w:val="00D27E67"/>
    <w:pPr>
      <w:numPr>
        <w:numId w:val="1"/>
      </w:numPr>
      <w:spacing w:after="120" w:line="360" w:lineRule="auto"/>
      <w:ind w:right="360"/>
    </w:pPr>
    <w:rPr>
      <w:noProof w:val="0"/>
    </w:rPr>
  </w:style>
  <w:style w:type="paragraph" w:customStyle="1" w:styleId="af">
    <w:name w:val="כותרת"/>
    <w:basedOn w:val="a1"/>
    <w:next w:val="af0"/>
    <w:autoRedefine/>
    <w:rsid w:val="00D27E67"/>
    <w:pPr>
      <w:spacing w:after="120" w:line="360" w:lineRule="auto"/>
    </w:pPr>
    <w:rPr>
      <w:bCs/>
      <w:noProof w:val="0"/>
      <w:u w:val="single"/>
      <w:lang w:eastAsia="he-IL"/>
    </w:rPr>
  </w:style>
  <w:style w:type="paragraph" w:customStyle="1" w:styleId="a0">
    <w:name w:val="ממוספר"/>
    <w:basedOn w:val="a1"/>
    <w:rsid w:val="00D27E67"/>
    <w:pPr>
      <w:numPr>
        <w:numId w:val="2"/>
      </w:numPr>
      <w:spacing w:after="120" w:line="360" w:lineRule="auto"/>
    </w:pPr>
    <w:rPr>
      <w:rFonts w:ascii="David" w:hAnsi="David"/>
      <w:noProof w:val="0"/>
      <w:color w:val="000000"/>
    </w:rPr>
  </w:style>
  <w:style w:type="character" w:customStyle="1" w:styleId="default">
    <w:name w:val="default"/>
    <w:rsid w:val="00D27E67"/>
    <w:rPr>
      <w:rFonts w:ascii="Times New Roman" w:hAnsi="Times New Roman" w:cs="Times New Roman" w:hint="default"/>
      <w:sz w:val="26"/>
      <w:szCs w:val="26"/>
    </w:rPr>
  </w:style>
  <w:style w:type="paragraph" w:styleId="af0">
    <w:name w:val="List"/>
    <w:basedOn w:val="a1"/>
    <w:semiHidden/>
    <w:unhideWhenUsed/>
    <w:rsid w:val="00D27E6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7797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AE3DAFD6EA6F45A1B61370A65DA5B37F"/>
        <w:category>
          <w:name w:val="כללי"/>
          <w:gallery w:val="placeholder"/>
        </w:category>
        <w:types>
          <w:type w:val="bbPlcHdr"/>
        </w:types>
        <w:behaviors>
          <w:behavior w:val="content"/>
        </w:behaviors>
        <w:guid w:val="{E0CF4316-F42A-4866-8ACB-A51BA5804F8E}"/>
      </w:docPartPr>
      <w:docPartBody>
        <w:p w:rsidR="00FF53E7" w:rsidRDefault="00B74EBD" w:rsidP="00B74EBD">
          <w:pPr>
            <w:pStyle w:val="AE3DAFD6EA6F45A1B61370A65DA5B37F"/>
          </w:pPr>
          <w:r>
            <w:rPr>
              <w:rFonts w:ascii="Arial" w:hAnsi="Arial"/>
              <w:b/>
              <w:bCs/>
              <w:sz w:val="26"/>
              <w:szCs w:val="26"/>
              <w:rtl/>
            </w:rPr>
            <w:t>שם צד א' ללא שם של חסוי</w:t>
          </w:r>
        </w:p>
      </w:docPartBody>
    </w:docPart>
    <w:docPart>
      <w:docPartPr>
        <w:name w:val="CEFA768AFD704E90810ABEAB8F82E449"/>
        <w:category>
          <w:name w:val="כללי"/>
          <w:gallery w:val="placeholder"/>
        </w:category>
        <w:types>
          <w:type w:val="bbPlcHdr"/>
        </w:types>
        <w:behaviors>
          <w:behavior w:val="content"/>
        </w:behaviors>
        <w:guid w:val="{A6EEFD31-108D-4F74-AD58-0B343ABE93A7}"/>
      </w:docPartPr>
      <w:docPartBody>
        <w:p w:rsidR="00FF53E7" w:rsidRDefault="00B74EBD" w:rsidP="00B74EBD">
          <w:pPr>
            <w:pStyle w:val="CEFA768AFD704E90810ABEAB8F82E449"/>
          </w:pPr>
          <w:r>
            <w:rPr>
              <w:rFonts w:ascii="Arial" w:hAnsi="Arial"/>
              <w:b/>
              <w:bCs/>
              <w:sz w:val="26"/>
              <w:szCs w:val="26"/>
              <w:rtl/>
            </w:rPr>
            <w:t>שם צד ב' ללא שם של חסוי</w:t>
          </w:r>
        </w:p>
      </w:docPartBody>
    </w:docPart>
    <w:docPart>
      <w:docPartPr>
        <w:name w:val="2422C215C9C24F59A81E51B510A4DA6D"/>
        <w:category>
          <w:name w:val="כללי"/>
          <w:gallery w:val="placeholder"/>
        </w:category>
        <w:types>
          <w:type w:val="bbPlcHdr"/>
        </w:types>
        <w:behaviors>
          <w:behavior w:val="content"/>
        </w:behaviors>
        <w:guid w:val="{8C63DC7C-77DB-4931-87AB-184A28280B76}"/>
      </w:docPartPr>
      <w:docPartBody>
        <w:p w:rsidR="00FF53E7" w:rsidRDefault="00B74EBD" w:rsidP="00B74EBD">
          <w:pPr>
            <w:pStyle w:val="2422C215C9C24F59A81E51B510A4DA6D"/>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4F78B2"/>
    <w:rsid w:val="005157ED"/>
    <w:rsid w:val="00556D67"/>
    <w:rsid w:val="00673B50"/>
    <w:rsid w:val="006F6D28"/>
    <w:rsid w:val="00793995"/>
    <w:rsid w:val="007C6F98"/>
    <w:rsid w:val="007E254A"/>
    <w:rsid w:val="008B4366"/>
    <w:rsid w:val="009133C7"/>
    <w:rsid w:val="009178E4"/>
    <w:rsid w:val="00961B27"/>
    <w:rsid w:val="009A36E7"/>
    <w:rsid w:val="00A74356"/>
    <w:rsid w:val="00AA7CE3"/>
    <w:rsid w:val="00B50DB2"/>
    <w:rsid w:val="00B72BC2"/>
    <w:rsid w:val="00B74EBD"/>
    <w:rsid w:val="00B91FA3"/>
    <w:rsid w:val="00BD69D1"/>
    <w:rsid w:val="00BE6557"/>
    <w:rsid w:val="00C96C06"/>
    <w:rsid w:val="00D24521"/>
    <w:rsid w:val="00D6580E"/>
    <w:rsid w:val="00E31BF6"/>
    <w:rsid w:val="00E81DB1"/>
    <w:rsid w:val="00F04DC1"/>
    <w:rsid w:val="00F678CA"/>
    <w:rsid w:val="00FD7717"/>
    <w:rsid w:val="00FF53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AE3DAFD6EA6F45A1B61370A65DA5B37F">
    <w:name w:val="AE3DAFD6EA6F45A1B61370A65DA5B37F"/>
    <w:rsid w:val="00B74EBD"/>
    <w:pPr>
      <w:bidi/>
      <w:spacing w:after="160" w:line="259" w:lineRule="auto"/>
    </w:pPr>
  </w:style>
  <w:style w:type="paragraph" w:customStyle="1" w:styleId="CEFA768AFD704E90810ABEAB8F82E449">
    <w:name w:val="CEFA768AFD704E90810ABEAB8F82E449"/>
    <w:rsid w:val="00B74EBD"/>
    <w:pPr>
      <w:bidi/>
      <w:spacing w:after="160" w:line="259" w:lineRule="auto"/>
    </w:pPr>
  </w:style>
  <w:style w:type="paragraph" w:customStyle="1" w:styleId="2422C215C9C24F59A81E51B510A4DA6D">
    <w:name w:val="2422C215C9C24F59A81E51B510A4DA6D"/>
    <w:rsid w:val="00B74EB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252662753</CasePartyID>
        <PartyTypeID>3</PartyTypeID>
        <ActivityStatusID>1</ActivityStatusID>
        <LegalEntityID>12733419</LegalEntityID>
        <CaseLegalEntityID>123420170</CaseLegalEntityID>
        <AssistantRoleID>26</AssistantRoleID>
        <AuthenticationTypeID>13</AuthenticationTypeID>
        <AuthenticationTypeName>משרדי ממשלה</AuthenticationTypeName>
        <LegalEntityNumber>570000489</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269253541</CasePartyID>
        <PartyTypeID>3</PartyTypeID>
        <ActivityStatusID>1</ActivityStatusID>
        <LegalEntityID>74409308</LegalEntityID>
        <CaseLegalEntityID>128604931</CaseLegalEntityID>
        <AssistantRoleID>101</AssistantRoleID>
        <AuthenticationTypeID>13</AuthenticationTypeID>
        <AuthenticationTypeName>משרדי ממשלה</AuthenticationTypeName>
        <LegalEntityNumber>570001686</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שקד מנסור</FullName>
        <FirstName>שקד</FirstName>
        <LastName>מנסור</LastName>
        <PartyPropertyName/>
        <AuthenticationTypeAndNumber>ת"ז 331479477</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269254079</CasePartyID>
        <PartyTypeID>3</PartyTypeID>
        <ActivityStatusID>1</ActivityStatusID>
        <LegalEntityID>76970209</LegalEntityID>
        <CaseLegalEntityID>128605145</CaseLegalEntityID>
        <AssistantRoleID>12</AssistantRoleID>
        <AuthenticationTypeID>1</AuthenticationTypeID>
        <AuthenticationTypeName>ת"ז</AuthenticationTypeName>
        <LegalEntityNumber>331479477</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מנחם 12 רחובות </FullAddress>
        <MotionID>0</MotionID>
        <CasePleaID>0</CasePleaID>
        <BirthDate>2008-05-29T00:00:00+03:00</BirthDate>
        <FatherName>שלמה</FatherName>
        <LinkedCaseID>0</LinkedCaseID>
        <PartyID>1</PartyID>
        <CasePartyCategoryID>2</CasePartyCategoryID>
        <LegalEntityAddressID>89218131</LegalEntityAddressID>
        <PleaTypeID>8</PleaTypeID>
        <GroupPartyAlias/>
        <IsConverted>false</IsConverted>
        <LegalEntityRegisteredNameID>7190445</LegalEntityRegisteredNameID>
        <LegalEntityNameID>96464540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שקד מנסור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סתין זנגי</FullName>
        <FirstName>סתיו</FirstName>
        <LastName>זנגי</LastName>
        <PartyPropertyName/>
        <AuthenticationTypeAndNumber>ת"ז 216825067</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269254201</CasePartyID>
        <PartyTypeID>3</PartyTypeID>
        <ActivityStatusID>1</ActivityStatusID>
        <LegalEntityID>81861638</LegalEntityID>
        <CaseLegalEntityID>128605189</CaseLegalEntityID>
        <AssistantRoleID>12</AssistantRoleID>
        <AuthenticationTypeID>1</AuthenticationTypeID>
        <AuthenticationTypeName>ת"ז</AuthenticationTypeName>
        <LegalEntityNumber>216825067</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משעול האגס 43 אילת </FullAddress>
        <MotionID>0</MotionID>
        <CasePleaID>0</CasePleaID>
        <FatherName>גולן</FatherName>
        <LinkedCaseID>0</LinkedCaseID>
        <PartyID>1</PartyID>
        <CasePartyCategoryID>2</CasePartyCategoryID>
        <LegalEntityAddressID>89218145</LegalEntityAddressID>
        <PleaTypeID>8</PleaTypeID>
        <GroupPartyAlias/>
        <IsConverted>false</IsConverted>
        <LegalEntityRegisteredNameID>10724218</LegalEntityRegisteredNameID>
        <LegalEntityNameID>96464553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סתין זנגי</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לילך יערי</FullName>
        <FirstName>לילך</FirstName>
        <LastName>יערי</LastName>
        <PartyPropertyName/>
        <AuthenticationTypeAndNumber>ת"ז </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266871675</CasePartyID>
        <PartyTypeID>4</PartyTypeID>
        <ActivityStatusID>1</ActivityStatusID>
        <PartyAliasID>73</PartyAliasID>
        <PartyAliasName>עד נאשמים</PartyAliasName>
        <LegalEntityID>81758344</LegalEntityID>
        <CaseLegalEntityID>127921492</CaseLegalEntityID>
        <AuthenticationTypeID>1</AuthenticationTypeID>
        <AuthenticationTypeName>ת"ז</AuthenticationTypeName>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FullAddress>
        <MotionID>0</MotionID>
        <CasePleaID>0</CasePleaID>
        <LinkedCaseID>0</LinkedCaseID>
        <PartyID>2</PartyID>
        <CasePartyCategoryID>2</CasePartyCategoryID>
        <LegalEntityAddressID>89007994</LegalEntityAddressID>
        <PleaTypeID>8</PleaTypeID>
        <GroupPartyAlias/>
        <IsConverted>false</IsConverted>
        <LegalEntityNameID>96208890</LegalEntityNameID>
        <RepresentatedNamesOfAssistant/>
        <LegalEntityTypeID>1</LegalEntityTypeID>
        <IsVerdictExists>false</IsVerdictExists>
        <IsAsirAzir>false</IsAsirAzir>
        <MainAndSecSpec/>
        <IsPublicationProhibited>false</IsPublicationProhibited>
        <PublicationProhibitedFullName>לילך יערי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שלומי ביזק</FullName>
        <FirstName>שלומי</FirstName>
        <LastName>ביזק</LastName>
        <PartyPropertyName/>
        <AuthenticationTypeAndNumber>מ.ר. 68618</AuthenticationTypeAndNumber>
        <RepresentatedOrRepresentativesNames>ישראל יערי</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252516813</CasePartyID>
        <PartyTypeID>2</PartyTypeID>
        <ActivityStatusID>1</ActivityStatusID>
        <PartyAliasID>32</PartyAliasID>
        <PartyAliasName>בא כוח נאשמים</PartyAliasName>
        <LegalEntityID>73663342</LegalEntityID>
        <CaseLegalEntityID>123375059</CaseLegalEntityID>
        <AuthenticationTypeID>4</AuthenticationTypeID>
        <AuthenticationTypeName>מ.ר.</AuthenticationTypeName>
        <LegalEntityNumber>68618</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דרך הנפת הדגל 7 נס ציונה בניין C, קומה 3, משרד 3</FullAddress>
        <EmailAddress>bizak.office@gmail.com</EmailAddress>
        <MotionID>0</MotionID>
        <CasePleaID>0</CasePleaID>
        <LinkedCaseID>0</LinkedCaseID>
        <PartyID>2</PartyID>
        <CasePartyCategoryID>2</CasePartyCategoryID>
        <LegalEntityAddressID>88429369</LegalEntityAddressID>
        <LegalEntityEmailAddressID>68307331</LegalEntityEmailAddressID>
        <PleaTypeID>8</PleaTypeID>
        <LawyerOfficeName>משרד עו"ד שלומי ביזק</LawyerOfficeName>
        <LawyerOfficeID>73663343</LawyerOfficeID>
        <GroupPartyAlias/>
        <IsConverted>false</IsConverted>
        <LegalEntityNameID>78578752</LegalEntityNameID>
        <RepresentatedNamesOfAssistant/>
        <LegalEntityTypeID>4</LegalEntityTypeID>
        <IsVerdictExists>false</IsVerdictExists>
        <IsAsirAzir>false</IsAsirAzir>
        <MainAndSecSpec/>
        <IsPublicationProhibited>false</IsPublicationProhibited>
        <PublicationProhibitedFullName>שלומי ביזק</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ישראל יערי</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252850121</CasePartyID>
        <PartyTypeID>2</PartyTypeID>
        <ActivityStatusID>1</ActivityStatusID>
        <PartyAliasID>32</PartyAliasID>
        <PartyAliasName>בא כוח נאשמים</PartyAliasName>
        <LegalEntityID>397797</LegalEntityID>
        <CaseLegalEntityID>123477133</CaseLegalEntityID>
        <AuthenticationTypeID>4</AuthenticationTypeID>
        <AuthenticationTypeName>מ.ר.</AuthenticationTypeName>
        <LegalEntityNumber>17943</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252205692</CasePartyID>
        <PartyTypeID>1</PartyTypeID>
        <ActivityStatusID>1</ActivityStatusID>
        <PartyAliasID>11</PartyAliasID>
        <PartyAliasName>מאשימה</PartyAliasName>
        <OrdinalNumber>1</OrdinalNumber>
        <LegalEntityID>4</LegalEntityID>
        <CaseLegalEntityID>123276351</CaseLegalEntityID>
        <AuthenticationTypeID>41</AuthenticationTypeID>
        <AuthenticationTypeName>מדינת ישראל </AuthenticationTypeName>
        <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252205693</CasePartyID>
        <PartyTypeID>2</PartyTypeID>
        <ActivityStatusID>1</ActivityStatusID>
        <PartyAliasID>30</PartyAliasID>
        <PartyAliasName>בא כוח מאשימה</PartyAliasName>
        <OrdinalNumber>1</OrdinalNumber>
        <LegalEntityID>398656</LegalEntityID>
        <CaseLegalEntityID>123276352</CaseLegalEntityID>
        <AuthenticationTypeID>4</AuthenticationTypeID>
        <AuthenticationTypeName>מ.ר.</AuthenticationTypeName>
        <LegalEntityNumber>19202</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ישראל יערי (עציר)</FullName>
        <FirstName>ישראל</FirstName>
        <LastName>יערי</LastName>
        <PartyPropertyID>6</PartyPropertyID>
        <PartyPropertyName/>
        <AuthenticationTypeAndNumber>ת"ז 009496019</AuthenticationTypeAndNumber>
        <RepresentatedOrRepresentativesNames>שלומי ביזק, אבי כהן</RepresentatedOrRepresentativesNames>
        <RepresentatedOrRepresentativesCount>2</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252205694</CasePartyID>
        <PartyTypeID>1</PartyTypeID>
        <ActivityStatusID>1</ActivityStatusID>
        <PartyAliasID>13</PartyAliasID>
        <PartyAliasName>נאשם</PartyAliasName>
        <OrdinalNumber>1</OrdinalNumber>
        <LegalEntityID>81004991</LegalEntityID>
        <CaseLegalEntityID>123276353</CaseLegalEntityID>
        <AuthenticationTypeID>1</AuthenticationTypeID>
        <AuthenticationTypeName>ת"ז</AuthenticationTypeName>
        <LegalEntityNumber>009496019</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MotionID>0</MotionID>
        <CasePleaID>0</CasePleaID>
        <BirthDate>1944-03-28T00:00:00+02:00</BirthDate>
        <FatherName>מרדכי</FatherName>
        <LinkedCaseID>0</LinkedCaseID>
        <PartyID>2</PartyID>
        <CasePartyCategoryID>2</CasePartyCategoryID>
        <PleaTypeID>8</PleaTypeID>
        <GroupPartyAlias>נאשמים</GroupPartyAlias>
        <IsConverted>false</IsConverted>
        <LegalEntityRegisteredNameID>10217326</LegalEntityRegisteredNameID>
        <LegalEntityNameID>94453169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ישראל יערי (עציר)</PublicationProhibitedFullName>
      </CaseParties>
    </CasePartiesSelectionDS>
    <DecisionName>החלטה  שניתנה ע"י  עמי קובו</DecisionName>
    <CourtDisplayName>בית המשפט המחוזי מרכז-לוד</CourtDisplayName>
    <IsCaseJudgePanel>true</IsCaseJudgePanel>
    <DecisionSignatureDate>2024-09-10T09:20:17.791002+03:00</DecisionSignatureDate>
    <OpenCaseDate>2023-02-20T10:25:00+02:00</OpenCaseDate>
    <ExternalCaseNumber>48189/2023</ExternalCaseNumber>
    <DecisionTypeID>1</DecisionTypeID>
    <DecisionSignatureUserName>עמי קובו</DecisionSignatureUserName>
    <DecisionSignatureDateHebrew>2024-09-10T09:20:17.791002+03:00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יערי(עציר)</CaseName>
    <DecisionNumberInCase>30</DecisionNumberInCase>
  </dt_Decision>
  <dt_DecisionCase>
    <DecisionID>0</DecisionID>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252662753</CasePartyID>
        <PartyTypeID>3</PartyTypeID>
        <ActivityStatusID>1</ActivityStatusID>
        <LegalEntityID>12733419</LegalEntityID>
        <CaseLegalEntityID>123420170</CaseLegalEntityID>
        <AssistantRoleID>26</AssistantRoleID>
        <AuthenticationTypeID>13</AuthenticationTypeID>
        <AuthenticationTypeName>משרדי ממשלה</AuthenticationTypeName>
        <LegalEntityNumber>570000489</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269253541</CasePartyID>
        <PartyTypeID>3</PartyTypeID>
        <ActivityStatusID>1</ActivityStatusID>
        <LegalEntityID>74409308</LegalEntityID>
        <CaseLegalEntityID>128604931</CaseLegalEntityID>
        <AssistantRoleID>101</AssistantRoleID>
        <AuthenticationTypeID>13</AuthenticationTypeID>
        <AuthenticationTypeName>משרדי ממשלה</AuthenticationTypeName>
        <LegalEntityNumber>570001686</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שקד מנסור</FullName>
        <FirstName>שקד</FirstName>
        <LastName>מנסור</LastName>
        <PartyPropertyName/>
        <AuthenticationTypeAndNumber>ת"ז 331479477</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269254079</CasePartyID>
        <PartyTypeID>3</PartyTypeID>
        <ActivityStatusID>1</ActivityStatusID>
        <LegalEntityID>76970209</LegalEntityID>
        <CaseLegalEntityID>128605145</CaseLegalEntityID>
        <AssistantRoleID>12</AssistantRoleID>
        <AuthenticationTypeID>1</AuthenticationTypeID>
        <AuthenticationTypeName>ת"ז</AuthenticationTypeName>
        <LegalEntityNumber>331479477</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מנחם 12 רחובות </FullAddress>
        <MotionID>0</MotionID>
        <CasePleaID>0</CasePleaID>
        <BirthDate>2008-05-29T00:00:00+03:00</BirthDate>
        <FatherName>שלמה</FatherName>
        <LinkedCaseID>0</LinkedCaseID>
        <PartyID>1</PartyID>
        <CasePartyCategoryID>2</CasePartyCategoryID>
        <LegalEntityAddressID>89218131</LegalEntityAddressID>
        <PleaTypeID>8</PleaTypeID>
        <GroupPartyAlias/>
        <IsConverted>false</IsConverted>
        <LegalEntityRegisteredNameID>7190445</LegalEntityRegisteredNameID>
        <LegalEntityNameID>96464540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שקד מנסור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סתין זנגי</FullName>
        <FirstName>סתיו</FirstName>
        <LastName>זנגי</LastName>
        <PartyPropertyName/>
        <AuthenticationTypeAndNumber>ת"ז 216825067</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269254201</CasePartyID>
        <PartyTypeID>3</PartyTypeID>
        <ActivityStatusID>1</ActivityStatusID>
        <LegalEntityID>81861638</LegalEntityID>
        <CaseLegalEntityID>128605189</CaseLegalEntityID>
        <AssistantRoleID>12</AssistantRoleID>
        <AuthenticationTypeID>1</AuthenticationTypeID>
        <AuthenticationTypeName>ת"ז</AuthenticationTypeName>
        <LegalEntityNumber>216825067</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משעול האגס 43 אילת </FullAddress>
        <MotionID>0</MotionID>
        <CasePleaID>0</CasePleaID>
        <FatherName>גולן</FatherName>
        <LinkedCaseID>0</LinkedCaseID>
        <PartyID>1</PartyID>
        <CasePartyCategoryID>2</CasePartyCategoryID>
        <LegalEntityAddressID>89218145</LegalEntityAddressID>
        <PleaTypeID>8</PleaTypeID>
        <GroupPartyAlias/>
        <IsConverted>false</IsConverted>
        <LegalEntityRegisteredNameID>10724218</LegalEntityRegisteredNameID>
        <LegalEntityNameID>96464553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סתין זנגי</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לילך יערי</FullName>
        <FirstName>לילך</FirstName>
        <LastName>יערי</LastName>
        <PartyPropertyName/>
        <AuthenticationTypeAndNumber>ת"ז </AuthenticationTypeAndNumber>
        <RepresentatedOrRepresentativesNames/>
        <RepresentatedOrRepresentativesCount>0</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266871675</CasePartyID>
        <PartyTypeID>4</PartyTypeID>
        <ActivityStatusID>1</ActivityStatusID>
        <PartyAliasID>73</PartyAliasID>
        <PartyAliasName>עד נאשמים</PartyAliasName>
        <LegalEntityID>81758344</LegalEntityID>
        <CaseLegalEntityID>127921492</CaseLegalEntityID>
        <AuthenticationTypeID>1</AuthenticationTypeID>
        <AuthenticationTypeName>ת"ז</AuthenticationTypeName>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FullAddress>
        <MotionID>0</MotionID>
        <CasePleaID>0</CasePleaID>
        <LinkedCaseID>0</LinkedCaseID>
        <PartyID>2</PartyID>
        <CasePartyCategoryID>2</CasePartyCategoryID>
        <LegalEntityAddressID>89007994</LegalEntityAddressID>
        <PleaTypeID>8</PleaTypeID>
        <GroupPartyAlias/>
        <IsConverted>false</IsConverted>
        <LegalEntityNameID>96208890</LegalEntityNameID>
        <RepresentatedNamesOfAssistant/>
        <LegalEntityTypeID>1</LegalEntityTypeID>
        <IsVerdictExists>false</IsVerdictExists>
        <IsAsirAzir>false</IsAsirAzir>
        <MainAndSecSpec/>
        <IsPublicationProhibited>false</IsPublicationProhibited>
        <PublicationProhibitedFullName>לילך יערי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שלומי ביזק</FullName>
        <FirstName>שלומי</FirstName>
        <LastName>ביזק</LastName>
        <PartyPropertyName/>
        <AuthenticationTypeAndNumber>מ.ר. 68618</AuthenticationTypeAndNumber>
        <RepresentatedOrRepresentativesNames>ישראל יערי</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252516813</CasePartyID>
        <PartyTypeID>2</PartyTypeID>
        <ActivityStatusID>1</ActivityStatusID>
        <PartyAliasID>32</PartyAliasID>
        <PartyAliasName>בא כוח נאשמים</PartyAliasName>
        <LegalEntityID>73663342</LegalEntityID>
        <CaseLegalEntityID>123375059</CaseLegalEntityID>
        <AuthenticationTypeID>4</AuthenticationTypeID>
        <AuthenticationTypeName>מ.ר.</AuthenticationTypeName>
        <LegalEntityNumber>68618</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דרך הנפת הדגל 7 נס ציונה בניין C, קומה 3, משרד 3</FullAddress>
        <EmailAddress>bizak.office@gmail.com</EmailAddress>
        <MotionID>0</MotionID>
        <CasePleaID>0</CasePleaID>
        <LinkedCaseID>0</LinkedCaseID>
        <PartyID>2</PartyID>
        <CasePartyCategoryID>2</CasePartyCategoryID>
        <LegalEntityAddressID>88429369</LegalEntityAddressID>
        <LegalEntityEmailAddressID>68307331</LegalEntityEmailAddressID>
        <PleaTypeID>8</PleaTypeID>
        <LawyerOfficeName>משרד עו"ד שלומי ביזק</LawyerOfficeName>
        <LawyerOfficeID>73663343</LawyerOfficeID>
        <GroupPartyAlias/>
        <IsConverted>false</IsConverted>
        <LegalEntityNameID>78578752</LegalEntityNameID>
        <RepresentatedNamesOfAssistant/>
        <LegalEntityTypeID>4</LegalEntityTypeID>
        <IsVerdictExists>false</IsVerdictExists>
        <IsAsirAzir>false</IsAsirAzir>
        <MainAndSecSpec/>
        <IsPublicationProhibited>false</IsPublicationProhibited>
        <PublicationProhibitedFullName>שלומי ביזק</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ישראל יערי</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252850121</CasePartyID>
        <PartyTypeID>2</PartyTypeID>
        <ActivityStatusID>1</ActivityStatusID>
        <PartyAliasID>32</PartyAliasID>
        <PartyAliasName>בא כוח נאשמים</PartyAliasName>
        <LegalEntityID>397797</LegalEntityID>
        <CaseLegalEntityID>123477133</CaseLegalEntityID>
        <AuthenticationTypeID>4</AuthenticationTypeID>
        <AuthenticationTypeName>מ.ר.</AuthenticationTypeName>
        <LegalEntityNumber>17943</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252205692</CasePartyID>
        <PartyTypeID>1</PartyTypeID>
        <ActivityStatusID>1</ActivityStatusID>
        <PartyAliasID>11</PartyAliasID>
        <PartyAliasName>מאשימה</PartyAliasName>
        <OrdinalNumber>1</OrdinalNumber>
        <LegalEntityID>4</LegalEntityID>
        <CaseLegalEntityID>123276351</CaseLegalEntityID>
        <AuthenticationTypeID>41</AuthenticationTypeID>
        <AuthenticationTypeName>מדינת ישראל </AuthenticationTypeName>
        <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252205693</CasePartyID>
        <PartyTypeID>2</PartyTypeID>
        <ActivityStatusID>1</ActivityStatusID>
        <PartyAliasID>30</PartyAliasID>
        <PartyAliasName>בא כוח מאשימה</PartyAliasName>
        <OrdinalNumber>1</OrdinalNumber>
        <LegalEntityID>398656</LegalEntityID>
        <CaseLegalEntityID>123276352</CaseLegalEntityID>
        <AuthenticationTypeID>4</AuthenticationTypeID>
        <AuthenticationTypeName>מ.ר.</AuthenticationTypeName>
        <LegalEntityNumber>19202</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ישראל יערי (עציר)</FullName>
        <FirstName>ישראל</FirstName>
        <LastName>יערי</LastName>
        <PartyPropertyID>6</PartyPropertyID>
        <PartyPropertyName/>
        <AuthenticationTypeAndNumber>ת"ז 009496019</AuthenticationTypeAndNumber>
        <RepresentatedOrRepresentativesNames>שלומי ביזק, אבי כהן</RepresentatedOrRepresentativesNames>
        <RepresentatedOrRepresentativesCount>2</RepresentatedOrRepresentativesCount>
        <InvitedBy/>
        <CaseID>80022662</CaseID>
        <CaseJudicialPersonPresentationDS>
          <CaseJudicalPersonActive>
            <CaseID>80022662</CaseID>
            <JudicialPersonID>029737269@GOV.IL</JudicialPersonID>
            <JudicialPersonTypeID>1</JudicialPersonTypeID>
            <JudicialTypeID>3</JudicialTypeID>
            <IsChairman>true</IsChairman>
            <TreatmentStartDate>2023-11-06T11:47:51.327+02:00</TreatmentStartDate>
            <TreatmentFinishDate>9999-12-31T23:59:59.997+02:00</TreatmentFinishDate>
            <IdentificationCardNumber>029737269</IdentificationCardNumber>
            <DisplayName>עמי קובו</DisplayName>
            <JudicialTypeName>הרכב שופטים</JudicialTypeName>
            <CaseJudicialGroupNumber>556063</CaseJudicialGroupNumber>
            <FirstName>עמי</FirstName>
            <LastName>קובו</LastName>
            <JudicialPersonTitle>שופט</JudicialPersonTitle>
          </CaseJudicalPersonActive>
          <CaseJudicalPersonActive>
            <CaseID>80022662</CaseID>
            <JudicialPersonID>028615656@GOV.IL</JudicialPersonID>
            <JudicialPersonTypeID>1</JudicialPersonTypeID>
            <JudicialTypeID>3</JudicialTypeID>
            <IsChairman>false</IsChairman>
            <TreatmentStartDate>2023-11-06T11:47:51.327+02:00</TreatmentStartDate>
            <TreatmentFinishDate>9999-12-31T23:59:59.997+02:00</TreatmentFinishDate>
            <IdentificationCardNumber>028615656</IdentificationCardNumber>
            <DisplayName>מיכאל קרשן</DisplayName>
            <JudicialTypeName>הרכב שופטים</JudicialTypeName>
            <CaseJudicialGroupNumber>556063</CaseJudicialGroupNumber>
            <FirstName>מיכאל</FirstName>
            <LastName>קרשן</LastName>
            <JudicialPersonTitle>שופט</JudicialPersonTitle>
          </CaseJudicalPersonActive>
          <CaseJudicalPersonActive>
            <CaseID>80022662</CaseID>
            <JudicialPersonID>027781319@GOV.IL</JudicialPersonID>
            <JudicialPersonTypeID>1</JudicialPersonTypeID>
            <JudicialTypeID>3</JudicialTypeID>
            <IsChairman>false</IsChairman>
            <TreatmentStartDate>2023-11-06T11:47:51.327+02:00</TreatmentStartDate>
            <TreatmentFinishDate>9999-12-31T23:59:59.997+02:00</TreatmentFinishDate>
            <IdentificationCardNumber>027781319</IdentificationCardNumber>
            <DisplayName>מרב גרינברג</DisplayName>
            <JudicialTypeName>הרכב שופטים</JudicialTypeName>
            <CaseJudicialGroupNumber>556063</CaseJudicialGroupNumber>
            <FirstName>מרב</FirstName>
            <LastName>גרינברג</LastName>
            <JudicialPersonTitle>שופט</JudicialPersonTitle>
          </CaseJudicalPersonActive>
        </CaseJudicialPersonPresentationDS>
        <CasePartyID>252205694</CasePartyID>
        <PartyTypeID>1</PartyTypeID>
        <ActivityStatusID>1</ActivityStatusID>
        <PartyAliasID>13</PartyAliasID>
        <PartyAliasName>נאשם</PartyAliasName>
        <OrdinalNumber>1</OrdinalNumber>
        <LegalEntityID>81004991</LegalEntityID>
        <CaseLegalEntityID>123276353</CaseLegalEntityID>
        <AuthenticationTypeID>1</AuthenticationTypeID>
        <AuthenticationTypeName>ת"ז</AuthenticationTypeName>
        <LegalEntityNumber>009496019</LegalEntityNumber>
        <IsMainPartyType>true</IsMainPartyType>
        <CaseDisplayIdentifier>46242-02-23</CaseDisplayIdentifier>
        <CaseTypeID>10284</CaseTypeID>
        <CaseTypeName>תיק פלילי פשע חמור עדות קטין נפגע עבירה (תפח"ע)</CaseTypeName>
        <CaseName>מדינת ישראל נ' יערי(עציר)</CaseName>
        <FullAddress/>
        <MotionID>0</MotionID>
        <CasePleaID>0</CasePleaID>
        <BirthDate>1944-03-28T00:00:00+02:00</BirthDate>
        <FatherName>מרדכי</FatherName>
        <LinkedCaseID>0</LinkedCaseID>
        <PartyID>2</PartyID>
        <CasePartyCategoryID>2</CasePartyCategoryID>
        <PleaTypeID>8</PleaTypeID>
        <GroupPartyAlias>נאשמים</GroupPartyAlias>
        <IsConverted>false</IsConverted>
        <LegalEntityRegisteredNameID>10217326</LegalEntityRegisteredNameID>
        <LegalEntityNameID>94453169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ישראל יערי (עציר)</PublicationProhibitedFullName>
      </CaseParties>
    </CasePartiesSelectionDS>
    <CaseName>מדינת ישראל נ' יערי(עציר)</CaseName>
    <CaseDisplayIdentifier>46242-02-23</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072-3377339</Fax>
    <AddressDesc>בניין C, קומה 3, משרד 3</AddressDesc>
    <PartyID>2</PartyID>
    <PartyTypeID>2</PartyTypeID>
    <DecisionID>0</DecisionID>
    <StreetName>דרך הנפת הדגל 7</StreetName>
    <ZipCode>7413013</ZipCode>
    <CityName>נס ציונה</CityName>
    <FullName>שלומי ביזק</FullName>
    <Email>bizak.office@gmail.com</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PartyID>2</PartyID>
    <PartyTypeID>4</PartyTypeID>
    <DecisionID>0</DecisionID>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
    <Phone/>
    <AddressDesc/>
    <PartyID>1</PartyID>
    <PartyTypeID>3</PartyTypeID>
    <DecisionID>0</DecisionID>
    <AssistantRoleID>12</AssistantRoleID>
    <StreetName>מנחם 12 </StreetName>
    <CityName>רחובות</CityName>
    <FullName>שקד מנסור </FullName>
    <Email/>
    <IsPublicationProhibited>false</IsPublicationProhibited>
  </dt_LegalEntityDetails>
  <dt_LegalEntityDetails>
    <Fax/>
    <Phone/>
    <AddressDesc/>
    <PartyID>1</PartyID>
    <PartyTypeID>3</PartyTypeID>
    <DecisionID>0</DecisionID>
    <AssistantRoleID>12</AssistantRoleID>
    <StreetName>משעול האגס 43</StreetName>
    <CityName>אילת</CityName>
    <FullName>סתין  זנגי</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LegalEntityDetails>
    <PartyID>2</PartyID>
    <PartyTypeID>1</PartyTypeID>
    <DecisionID>0</DecisionID>
    <FullName>ישראל יערי</FullName>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2024-04-18T08:30:00+03:00</PreviousMeetingDate>
    <PreviousSittingTypeID>15</PreviousSittingTypeID>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3A51F-2AAB-4F2B-951E-C3BAB931364A}">
  <ds:schemaRefs/>
</ds:datastoreItem>
</file>

<file path=customXml/itemProps2.xml><?xml version="1.0" encoding="utf-8"?>
<ds:datastoreItem xmlns:ds="http://schemas.openxmlformats.org/officeDocument/2006/customXml" ds:itemID="{D9216FAD-2874-4C1E-8DA1-8096F2A8E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3519</Words>
  <Characters>17598</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2024-09-18T10:25:00Z</dcterms:created>
  <dcterms:modified xsi:type="dcterms:W3CDTF">2024-09-18T10:25:00Z</dcterms:modified>
</cp:coreProperties>
</file>